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7479D" w14:textId="1FB654B8" w:rsidR="00B96965" w:rsidRPr="003B3563" w:rsidRDefault="00F06572" w:rsidP="004E7EB7">
      <w:pPr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Komisijas nolikums,</w:t>
      </w:r>
      <w:r w:rsidRPr="003B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kura pieņem lēmumu par </w:t>
      </w:r>
      <w:bookmarkStart w:id="0" w:name="_Hlk110354536"/>
      <w:r w:rsidRPr="003B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sertifikāta izsniegšanu, apturēšanu un anulēšanu</w:t>
      </w:r>
      <w:bookmarkEnd w:id="0"/>
      <w:r w:rsidRPr="003B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kā arī apliecības apturēšanu un atsaukšanu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personām, kas nodarbojas ar lauksaimniecības dzīvnieku vērtēšanu, snieguma pārbaudi un pārraudzību, mākslīgo apsēkloša</w:t>
      </w:r>
      <w:r w:rsidR="008640B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u, olšūnu un embriju transplantāciju</w:t>
      </w:r>
    </w:p>
    <w:p w14:paraId="7BD8B149" w14:textId="457628F5" w:rsidR="004A505C" w:rsidRPr="003B3563" w:rsidRDefault="004A505C" w:rsidP="004E7EB7">
      <w:pPr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563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7C5641" w:rsidRPr="003B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</w:p>
    <w:p w14:paraId="30DCCF6A" w14:textId="564DA5A6" w:rsidR="007C5641" w:rsidRPr="003B3563" w:rsidRDefault="007C5641" w:rsidP="004E7EB7">
      <w:pPr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piena šķirņu govju un kazu virspārraudzības rezultātu</w:t>
      </w:r>
      <w:r w:rsidR="004A505C" w:rsidRPr="003B3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izvērtēšanu</w:t>
      </w:r>
    </w:p>
    <w:p w14:paraId="6F3B17B3" w14:textId="49092A8F" w:rsidR="00F06572" w:rsidRDefault="00F06572" w:rsidP="004E7EB7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0705F" w14:textId="77777777" w:rsidR="00385EE1" w:rsidRPr="003B3563" w:rsidRDefault="00385EE1" w:rsidP="004E7EB7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28597" w14:textId="1451D3AF" w:rsidR="00F06572" w:rsidRPr="003B3563" w:rsidRDefault="00F06572" w:rsidP="004E7EB7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10352850"/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Izdots saskaņā ar </w:t>
      </w:r>
      <w:bookmarkEnd w:id="1"/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Valsts pārvaldes iekārtas likuma</w:t>
      </w:r>
    </w:p>
    <w:p w14:paraId="22329AF2" w14:textId="28B7B0B5" w:rsidR="00F06572" w:rsidRPr="003B3563" w:rsidRDefault="00F06572" w:rsidP="004E7EB7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72.panta pirmās daļas 1.punktu un</w:t>
      </w:r>
    </w:p>
    <w:p w14:paraId="6A543A1D" w14:textId="77777777" w:rsidR="004A505C" w:rsidRPr="003B3563" w:rsidRDefault="00F06572" w:rsidP="004A505C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Dzīvnieku audzēšanas</w:t>
      </w:r>
      <w:r w:rsidR="004A505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ciltsdarba likuma </w:t>
      </w:r>
    </w:p>
    <w:p w14:paraId="55B79C4F" w14:textId="6A0C0622" w:rsidR="00F06572" w:rsidRPr="003B3563" w:rsidRDefault="00F06572" w:rsidP="004A505C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14.panta piekto daļu, </w:t>
      </w:r>
      <w:bookmarkStart w:id="2" w:name="_Hlk110353013"/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2019.gada 12.marta</w:t>
      </w:r>
      <w:bookmarkEnd w:id="2"/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10352911"/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Ministru kabineta</w:t>
      </w:r>
      <w:r w:rsidR="004A505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noteikumu Nr.</w:t>
      </w:r>
      <w:bookmarkEnd w:id="3"/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</w:p>
    <w:p w14:paraId="30D2402F" w14:textId="72601E83" w:rsidR="009F6632" w:rsidRPr="003B3563" w:rsidRDefault="00F06572" w:rsidP="004A505C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“Prasības personām, kas nodarbojas</w:t>
      </w:r>
      <w:r w:rsidR="004A505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ar lauksaimniecības dzīvnieku</w:t>
      </w:r>
      <w:r w:rsidR="009F663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vērtēšanu,</w:t>
      </w:r>
    </w:p>
    <w:p w14:paraId="718CAEE3" w14:textId="73F96385" w:rsidR="009F6632" w:rsidRPr="003B3563" w:rsidRDefault="009F6632" w:rsidP="004A505C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snieguma pārbaudi un pārraudzību, mākslīgo</w:t>
      </w:r>
      <w:r w:rsidR="004A505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apsēklošanu, olšūnu un embriju </w:t>
      </w:r>
    </w:p>
    <w:p w14:paraId="2EA0FF6C" w14:textId="416BEBD0" w:rsidR="00F06572" w:rsidRPr="003B3563" w:rsidRDefault="009F6632" w:rsidP="004E7EB7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transplantāciju” 2.punktu</w:t>
      </w:r>
      <w:r w:rsidR="00F0657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426633" w14:textId="625791FC" w:rsidR="004A505C" w:rsidRPr="003B3563" w:rsidRDefault="004A505C" w:rsidP="004E7EB7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77C7B" w14:textId="77777777" w:rsidR="0017726B" w:rsidRPr="003B3563" w:rsidRDefault="004A505C" w:rsidP="0017726B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Izdots saskaņā ar 2019.gada 28. maija Ministru kabineta noteikum</w:t>
      </w:r>
      <w:r w:rsidR="00C7192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</w:t>
      </w:r>
      <w:r w:rsidR="00C7192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228 “Slaucamo govju un slaucamo kazu pārraudzības un snieguma pārbaudes kārtība”</w:t>
      </w:r>
      <w:r w:rsidR="00C7192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7E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59.punktu</w:t>
      </w:r>
    </w:p>
    <w:p w14:paraId="7526BD3B" w14:textId="77777777" w:rsidR="0017726B" w:rsidRPr="003B3563" w:rsidRDefault="0017726B" w:rsidP="0017726B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5778D" w14:textId="77777777" w:rsidR="005A7C14" w:rsidRDefault="005A7C14" w:rsidP="001772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4B5B75" w14:textId="77777777" w:rsidR="00385EE1" w:rsidRPr="003B3563" w:rsidRDefault="00385EE1" w:rsidP="001772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0FFA4B" w14:textId="77777777" w:rsidR="0017726B" w:rsidRPr="003B3563" w:rsidRDefault="0017726B" w:rsidP="001772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09F26D" w14:textId="72031BE3" w:rsidR="009F6632" w:rsidRPr="003B3563" w:rsidRDefault="009F6632" w:rsidP="001D3414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1D34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AE6BC2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Vispārīgie noteikumi</w:t>
      </w:r>
    </w:p>
    <w:p w14:paraId="02BF238E" w14:textId="77777777" w:rsidR="00180EF5" w:rsidRPr="003B3563" w:rsidRDefault="00180EF5" w:rsidP="004E7EB7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7E473" w14:textId="30F1D6E0" w:rsidR="00AE6BC2" w:rsidRPr="003B3563" w:rsidRDefault="000B33DF" w:rsidP="00F22EB0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1.1. Nolikumā noteikts Lauksaimniecības datu centra (turpmāk – LDC) izveidotās komisijas, kura pieņem lēmumu par sertifikāta izsniegšanu, apturēšanu un anulēšanu,  apliecības apturēšanu un atsaukšanu</w:t>
      </w:r>
      <w:r w:rsidR="00DF374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047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78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LDC iesniegto </w:t>
      </w:r>
      <w:r w:rsidR="00BF67E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piena šķirņu govju un kazu virspārraudzības rezultātu </w:t>
      </w:r>
      <w:r w:rsidR="0089079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Šķirnes lauksaimniecības dzīvnieku audzētāju biedrības (turpmāk – Biedrība) </w:t>
      </w:r>
      <w:r w:rsidR="00E9178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sniegtās </w:t>
      </w:r>
      <w:r w:rsidR="0089079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informācijas par </w:t>
      </w:r>
      <w:r w:rsidR="004B63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lauksaimniecības dzīvnieku </w:t>
      </w:r>
      <w:r w:rsidR="0089079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snieguma pārbaudes </w:t>
      </w:r>
      <w:r w:rsidR="004B63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izcelsmes </w:t>
      </w:r>
      <w:r w:rsidR="00E9178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 </w:t>
      </w:r>
      <w:r w:rsidR="004B63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virspārraudzīb</w:t>
      </w:r>
      <w:r w:rsidR="00E9178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ā konstatēto neatbilstību</w:t>
      </w:r>
      <w:r w:rsidR="004B63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7E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izvērtēšanu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(turpmāk – Komisija) sastāvs un darba organizēšanas kārtība, kā arī prasību izvērtēšanas metodika:</w:t>
      </w:r>
    </w:p>
    <w:p w14:paraId="4388B0F7" w14:textId="42D8A52C" w:rsidR="000B33DF" w:rsidRPr="003B3563" w:rsidRDefault="000B33DF" w:rsidP="004E7EB7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1.1.1.  sertifikāta izsniegšanai, apturēšanai un anulēšanai;</w:t>
      </w:r>
    </w:p>
    <w:p w14:paraId="0C4561A1" w14:textId="6E6CBF4F" w:rsidR="001B0F83" w:rsidRPr="003B3563" w:rsidRDefault="001B0F83" w:rsidP="004E7EB7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1.1.2.  apliecības apturēšanai un atsaukšanai</w:t>
      </w:r>
      <w:r w:rsidR="00BF67E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C1A708" w14:textId="48CD295D" w:rsidR="00BF67EB" w:rsidRPr="003B3563" w:rsidRDefault="00BF67EB" w:rsidP="004E7EB7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1.1.3. </w:t>
      </w:r>
      <w:r w:rsidR="006047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piena šķirņu govju un kazu </w:t>
      </w:r>
      <w:r w:rsidR="00E9178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LDC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virspārraudzības rezultātu izvērtēšanai.</w:t>
      </w:r>
    </w:p>
    <w:p w14:paraId="47A99255" w14:textId="25ED57D7" w:rsidR="00E9178D" w:rsidRPr="003B3563" w:rsidRDefault="00E9178D" w:rsidP="004E7EB7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1.1.4.</w:t>
      </w:r>
      <w:r w:rsidR="006047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biedrību sniegtās informācijas par lauksaimniecības dzīvnieku snieguma pārbaudes un izcelsmes datu virspārraudzībā konstatētām neatbilstībām</w:t>
      </w:r>
      <w:r w:rsidR="00383E1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B0D913" w14:textId="77777777" w:rsidR="00BF67EB" w:rsidRPr="003B3563" w:rsidRDefault="00BF67EB" w:rsidP="004E7EB7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82214" w14:textId="395536DD" w:rsidR="001B0F83" w:rsidRPr="003B3563" w:rsidRDefault="001B0F83" w:rsidP="00535EDF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Šis LDC direktora izdotais nolikums tiek publicēts LDC tīmekļvietnē </w:t>
      </w:r>
      <w:hyperlink r:id="rId4" w:history="1">
        <w:r w:rsidR="003B3563" w:rsidRPr="00457D74">
          <w:rPr>
            <w:rStyle w:val="Hyperlink"/>
            <w:rFonts w:ascii="Times New Roman" w:hAnsi="Times New Roman" w:cs="Times New Roman"/>
            <w:sz w:val="24"/>
            <w:szCs w:val="24"/>
          </w:rPr>
          <w:t>http://www.ldc.gov.lv</w:t>
        </w:r>
      </w:hyperlink>
      <w:r w:rsid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</w:t>
      </w:r>
    </w:p>
    <w:p w14:paraId="302EBE08" w14:textId="77777777" w:rsidR="00535EDF" w:rsidRDefault="001B0F83" w:rsidP="00535EDF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6047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Komisijas lēmumu var apstrīdēt, iesniedzot iesniegumu LDC direktoram. LDC direktora lēmumu var pārsūdzēt tiesā Administratīvā procesa likumā noteiktajā kārtībā.</w:t>
      </w:r>
    </w:p>
    <w:p w14:paraId="7DE92D74" w14:textId="77777777" w:rsidR="00B531CD" w:rsidRDefault="00B531CD" w:rsidP="00535EDF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3B052" w14:textId="77777777" w:rsidR="00385EE1" w:rsidRDefault="00385EE1" w:rsidP="00385EE1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C4F614" w14:textId="6E034E97" w:rsidR="0017726B" w:rsidRPr="003B3563" w:rsidRDefault="001B0F83" w:rsidP="00385EE1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</w:t>
      </w:r>
      <w:r w:rsidR="001D34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Komisijas sastāvs</w:t>
      </w:r>
    </w:p>
    <w:p w14:paraId="1C82799A" w14:textId="1309DB58" w:rsidR="001B0F83" w:rsidRPr="003B3563" w:rsidRDefault="001B0F83" w:rsidP="00535EDF">
      <w:pPr>
        <w:spacing w:after="0" w:line="240" w:lineRule="auto"/>
        <w:ind w:left="-57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bookmarkStart w:id="4" w:name="_Hlk104247009"/>
      <w:r w:rsidR="006047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Komisijā ir viens LDC pārstāvis, viens Zemkopības ministrijas pārstāvis, divi pārstāvji no nevalstiskas organizācijas un viens pārstāvis no Pārtikas un veterinārā dienesta.</w:t>
      </w:r>
      <w:bookmarkEnd w:id="4"/>
    </w:p>
    <w:p w14:paraId="2354ED9A" w14:textId="7581BDF6" w:rsidR="00535EDF" w:rsidRDefault="00843862" w:rsidP="00535EDF">
      <w:pPr>
        <w:spacing w:after="0" w:line="240" w:lineRule="auto"/>
        <w:ind w:left="-57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B531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47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 centrs savā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tīmekļvietnē publicē datu centra apstiprinātu Komisijas nolikumu, kurā noteikts Komisijas sastāvs un darba organizēšanas kārtība.</w:t>
      </w:r>
    </w:p>
    <w:p w14:paraId="68949C46" w14:textId="6F791392" w:rsidR="00023357" w:rsidRPr="003B3563" w:rsidRDefault="001B0F83" w:rsidP="00535EDF">
      <w:pPr>
        <w:spacing w:before="120" w:after="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0478F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7726B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23357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Personas, kas nodarbojas ar lauksaimniecības dzīvnieku vērtēšanu, snieguma</w:t>
      </w:r>
      <w:r w:rsidR="00535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357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pārbaudi un pārraudzību, mākslīgo</w:t>
      </w:r>
      <w:r w:rsidR="00535E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apsēklošanu, olšūnu un embriju </w:t>
      </w:r>
      <w:r w:rsidR="00023357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transplantāciju d</w:t>
      </w: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okumentu iesniegšanas kārtība</w:t>
      </w:r>
      <w:r w:rsidR="00023357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2FBD5D8" w14:textId="77777777" w:rsidR="00383E10" w:rsidRPr="003B3563" w:rsidRDefault="00383E10" w:rsidP="00535EDF">
      <w:pPr>
        <w:spacing w:after="0" w:line="240" w:lineRule="auto"/>
        <w:ind w:left="-57" w:hanging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0AF369" w14:textId="7C955058" w:rsidR="001B0F83" w:rsidRPr="003B3563" w:rsidRDefault="001B0F83" w:rsidP="00535EDF">
      <w:pPr>
        <w:spacing w:after="0" w:line="240" w:lineRule="auto"/>
        <w:ind w:left="-57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807E7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Persona, kas nodarbojas ar lauksaimniecības dzīvnieku vērtēšanu, snieguma pārbaudi un pārraudzību, mākslīgo apsēklošanu</w:t>
      </w:r>
      <w:r w:rsidR="0013577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, olšūnu un embriju transplantāciju (turpmāk – Persona) var saņemt sertifikātu vai kārtot pārbaudes testu, ja LDC iesniedz:</w:t>
      </w:r>
    </w:p>
    <w:p w14:paraId="50E22E68" w14:textId="186E72D0" w:rsidR="0013577C" w:rsidRPr="003B3563" w:rsidRDefault="0013577C" w:rsidP="005A7C14">
      <w:pPr>
        <w:spacing w:after="120" w:line="240" w:lineRule="auto"/>
        <w:ind w:left="42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3.1.1. </w:t>
      </w:r>
      <w:r w:rsidR="00DF374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iesniegumu (turpmāk – Iesniegums);</w:t>
      </w:r>
      <w:r w:rsidR="002C4FE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9C4783" w14:textId="59D8D81F" w:rsidR="0013577C" w:rsidRPr="003B3563" w:rsidRDefault="0013577C" w:rsidP="001D3414">
      <w:pPr>
        <w:spacing w:before="120" w:after="120" w:line="240" w:lineRule="auto"/>
        <w:ind w:left="425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</w:t>
      </w:r>
      <w:r w:rsidR="00DF374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izglītību apliecinoša dokumenta kopiju saskaņā ar prasībām izglītībai, kas noteiktas MK noteikumu Nr.116 “Prasības personām, kas nodarbojas ar lauksaim</w:t>
      </w:r>
      <w:r w:rsidR="00C618C3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iecības dzīvnieku vērtēšanu, snieguma pārbaudi un pārraudzību, mākslīgo apsēklošanu, olšūnu un embriju transplantāciju” (turpmāk – Noteikumi</w:t>
      </w:r>
      <w:r w:rsidR="00023357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Nr.116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) II sadaļā;</w:t>
      </w:r>
    </w:p>
    <w:p w14:paraId="1A32A355" w14:textId="301C715F" w:rsidR="000B33DF" w:rsidRPr="003B3563" w:rsidRDefault="0013577C" w:rsidP="001D3414">
      <w:pPr>
        <w:spacing w:before="120" w:after="120" w:line="240" w:lineRule="auto"/>
        <w:ind w:left="42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3.1.3.</w:t>
      </w:r>
      <w:r w:rsidR="00DF374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šķirnes lauksaimniecības dzīvnieku audzētāju biedrības (turpmāk – biedrība) vai krustojuma cūku audzētāju organizācijas (turpmāk – organizācijas) vai dzīvnieku mākslīgās apsēklošanas</w:t>
      </w:r>
      <w:r w:rsidR="00807E7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komersanta (turpmāk – Komersants) izsniegts apliecinājums par Noteikumu </w:t>
      </w:r>
      <w:r w:rsidR="00023357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Nr.116 </w:t>
      </w:r>
      <w:r w:rsidR="006047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E7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7.1.2., 7.2.2., 7.3.2. un 7.4.2. apakšpunktā vai 8. punktā minēto praktisko iemaņu apgūšan</w:t>
      </w:r>
      <w:r w:rsidR="006047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attiecīgajā darbības jomā un </w:t>
      </w:r>
      <w:r w:rsidR="00807E7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9. punktā minētās teorētiskās apmācības apliecinoša dokumenta kopiju.</w:t>
      </w:r>
    </w:p>
    <w:p w14:paraId="00A8EF7D" w14:textId="411688C1" w:rsidR="00807E72" w:rsidRPr="003B3563" w:rsidRDefault="00807E72" w:rsidP="00535EDF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DF374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Iesniegumu sagatavo rakstiski –  papīra vai elektronisk</w:t>
      </w:r>
      <w:r w:rsidR="00023357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 dokumenta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formā, ja tas saga</w:t>
      </w:r>
      <w:r w:rsidR="0017726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tavots atbilstoši normatīvajiem aktiem par elektronisko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dokumentu noformēšanu;</w:t>
      </w:r>
    </w:p>
    <w:p w14:paraId="026EF9B3" w14:textId="77777777" w:rsidR="00385EE1" w:rsidRDefault="00807E72" w:rsidP="00385EE1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="00DF374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7EB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Iesniegums </w:t>
      </w:r>
      <w:r w:rsidR="0017726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r w:rsidR="00CB7EB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dokumenti</w:t>
      </w:r>
      <w:r w:rsidR="00C618C3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B7EB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papīra formā jāiesniedz: LDC, Republikas laukumā 2, Rīgā, LV-1010, rakstot elektroniski (parakstīts ar drošu elektronisko parakstu) – uz e-pasta adresi: </w:t>
      </w:r>
      <w:hyperlink r:id="rId5" w:history="1">
        <w:r w:rsidR="00CB7EB5" w:rsidRPr="001D3414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ldc@ldc.gov.lv</w:t>
        </w:r>
      </w:hyperlink>
      <w:r w:rsidR="00CB7EB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3D21B7C" w14:textId="77777777" w:rsidR="00385EE1" w:rsidRDefault="00385EE1" w:rsidP="00385EE1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E1DC09" w14:textId="77777777" w:rsidR="00385EE1" w:rsidRDefault="00CB7EB5" w:rsidP="00385EE1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C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</w:t>
      </w: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Komisijas sēdes sasaukšanas un norises kārtība</w:t>
      </w:r>
    </w:p>
    <w:p w14:paraId="5C456A13" w14:textId="77777777" w:rsidR="00385EE1" w:rsidRDefault="00385EE1" w:rsidP="00385EE1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86B70" w14:textId="54C31D3C" w:rsidR="00CB7EB5" w:rsidRPr="003B3563" w:rsidRDefault="00CB7EB5" w:rsidP="00385EE1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DF374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Komisijas sēdes tiek sasauktas šādos gadījumos:</w:t>
      </w:r>
    </w:p>
    <w:p w14:paraId="1B5A6A62" w14:textId="64E058B3" w:rsidR="00CB7EB5" w:rsidRPr="003B3563" w:rsidRDefault="00CB7EB5" w:rsidP="004E7EB7">
      <w:pPr>
        <w:spacing w:after="0" w:line="240" w:lineRule="auto"/>
        <w:ind w:left="426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4.1.1.</w:t>
      </w:r>
      <w:r w:rsidR="000B2D2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Ja saņemts Iesniegums;</w:t>
      </w:r>
    </w:p>
    <w:p w14:paraId="762A5B7B" w14:textId="44586A18" w:rsidR="004A3B92" w:rsidRPr="003B3563" w:rsidRDefault="00CB7EB5" w:rsidP="004E7EB7">
      <w:pPr>
        <w:spacing w:after="0" w:line="240" w:lineRule="auto"/>
        <w:ind w:left="426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4.1.2.</w:t>
      </w:r>
      <w:r w:rsidR="000B2D2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Ja konstatēts, ka Personas darbība neatbilst normatīvajiem aktiem par dzīvnieku audzēšanu un ciltsdarbu</w:t>
      </w:r>
      <w:r w:rsidR="004A3B9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D2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A3B9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Persona nepilda normatīvo aktu prasības dzīvnieku audzēšanas, ciltsdarba vai ve</w:t>
      </w:r>
      <w:r w:rsidR="00C618C3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erinārmedicīnas jomā vai ir sniegusi nepatiesu informāciju</w:t>
      </w:r>
      <w:r w:rsidR="001B3E3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, tostarp saņemta informācija no Pārtikas un veterinārā dienesta par konstatētiem pārkāpumiem;</w:t>
      </w:r>
    </w:p>
    <w:p w14:paraId="307A46BA" w14:textId="08D6C3C7" w:rsidR="00F03754" w:rsidRPr="003B3563" w:rsidRDefault="004A3B92" w:rsidP="004E7EB7">
      <w:pPr>
        <w:spacing w:after="0" w:line="240" w:lineRule="auto"/>
        <w:ind w:left="426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</w:t>
      </w:r>
      <w:r w:rsidR="000B2D2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 </w:t>
      </w:r>
      <w:r w:rsidR="00CB7EB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noteiktajā termiņā nav paaugstinājusi kvalifik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CB7EB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ciju attiecīgajā darbības jomā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="00F0375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noteiktajā termiņā nav veikusi darbīb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F0375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sertifikātā norādītajā jomā</w:t>
      </w:r>
      <w:r w:rsidR="001B3E3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A5ED50D" w14:textId="77D45BE5" w:rsidR="00090C2E" w:rsidRPr="003B3563" w:rsidRDefault="00F03754" w:rsidP="00B25B07">
      <w:pPr>
        <w:spacing w:after="0" w:line="240" w:lineRule="auto"/>
        <w:ind w:left="426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1B3E3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 Saņemta sūdzība, kurā norādītas konkrētas ziņas par Personas darbības neatbilstību normatīvajiem aktiem par dzīvnieku audzēšanu un ciltsdarbu</w:t>
      </w:r>
      <w:r w:rsidR="00E76E3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D598E3A" w14:textId="0D0EB64F" w:rsidR="00E76E3F" w:rsidRPr="003B3563" w:rsidRDefault="00E76E3F" w:rsidP="00B25B07">
      <w:pPr>
        <w:spacing w:after="0" w:line="240" w:lineRule="auto"/>
        <w:ind w:left="426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1B3E3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  Ja tiek izvērtēt</w:t>
      </w:r>
      <w:r w:rsidR="0035668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68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LDC iesniegtais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virspārraudzības rezultāt</w:t>
      </w:r>
      <w:r w:rsidR="0035668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u pārbaudes akts;</w:t>
      </w:r>
    </w:p>
    <w:p w14:paraId="6567898B" w14:textId="783343AB" w:rsidR="004B6370" w:rsidRPr="003B3563" w:rsidRDefault="00E76E3F" w:rsidP="00B25B07">
      <w:pPr>
        <w:spacing w:after="0" w:line="240" w:lineRule="auto"/>
        <w:ind w:left="426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4.1.</w:t>
      </w:r>
      <w:r w:rsidR="001B3E3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386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</w:t>
      </w:r>
      <w:r w:rsidR="004B63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tiek izvērtēts B</w:t>
      </w:r>
      <w:r w:rsidR="0089079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iedrība</w:t>
      </w:r>
      <w:r w:rsidR="004B63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9079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68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iesnieg</w:t>
      </w:r>
      <w:r w:rsidR="004B63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tais </w:t>
      </w:r>
      <w:r w:rsidR="0098446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snieguma pārbaudes un izcelsmes datu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virspārraudzības pārbaudes </w:t>
      </w:r>
      <w:r w:rsidR="0098446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rezultātu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akt</w:t>
      </w:r>
      <w:r w:rsidR="0035668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s saskaņā ar 201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9.gada 28. maija Ministru kabineta noteikum</w:t>
      </w:r>
      <w:r w:rsidR="0035668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228 “Slaucamo govju un slaucamo kazu pārraudzības un snieguma pārbaudes kārtība” </w:t>
      </w:r>
      <w:r w:rsidR="000B2D2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(turpmāk </w:t>
      </w:r>
      <w:r w:rsidR="000B2D2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– </w:t>
      </w:r>
      <w:r w:rsidR="0084386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Noteikumi Nr.228)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64.punktu</w:t>
      </w:r>
      <w:r w:rsidR="004B63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AB61D99" w14:textId="77777777" w:rsidR="00BC381E" w:rsidRDefault="004B6370" w:rsidP="00BC381E">
      <w:pPr>
        <w:spacing w:after="0" w:line="240" w:lineRule="auto"/>
        <w:ind w:left="426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4.1.7. </w:t>
      </w:r>
      <w:r w:rsidR="0035668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tiek izvērtēta Biedrības iesniegtā informācija par </w:t>
      </w:r>
      <w:r w:rsidR="0098446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lauksaimniecības dzīvnieku </w:t>
      </w:r>
      <w:r w:rsidR="000B2D2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audzēšanas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programm</w:t>
      </w:r>
      <w:r w:rsidR="0098446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0B2D2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paškontroles procedūru </w:t>
      </w:r>
      <w:r w:rsidR="0098446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izvērtēšanas procesā konstatētām neatbilstībām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snieguma pārbaudes rezultāt</w:t>
      </w:r>
      <w:r w:rsidR="0098446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os, kas veikts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saskaņā ar </w:t>
      </w:r>
      <w:r w:rsidR="0098446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2018. gada 18. decembra Ministru kabineta noteikumu Nr. 796 “Šķirnes lauksaimniecības dzīvnieku audzētāju biedrības un krustojuma cūku audzētāju organizācijas atzīšanas kārtība, kā arī audzēšanas programmas apstiprināšanas kārtība” (turpmāk – Noteikumi Nr.7</w:t>
      </w:r>
      <w:hyperlink r:id="rId6" w:anchor="piel1">
        <w:r w:rsidR="0098446E" w:rsidRPr="003B3563">
          <w:rPr>
            <w:rFonts w:ascii="Times New Roman" w:hAnsi="Times New Roman" w:cs="Times New Roman"/>
            <w:color w:val="000000" w:themeColor="text1"/>
            <w:sz w:val="24"/>
            <w:szCs w:val="24"/>
          </w:rPr>
          <w:t>96) 12.</w:t>
        </w:r>
        <w:r w:rsidR="0098446E" w:rsidRPr="003B3563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1</w:t>
        </w:r>
        <w:r w:rsidR="0098446E" w:rsidRPr="003B3563">
          <w:rPr>
            <w:rFonts w:ascii="Times New Roman" w:hAnsi="Times New Roman" w:cs="Times New Roman"/>
            <w:color w:val="000000" w:themeColor="text1"/>
            <w:sz w:val="24"/>
            <w:szCs w:val="24"/>
          </w:rPr>
          <w:t>.punktu</w:t>
        </w:r>
        <w:r w:rsidR="000B2D2D" w:rsidRPr="003B3563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98446E" w:rsidRPr="003B3563">
          <w:rPr>
            <w:rFonts w:ascii="Times New Roman" w:hAnsi="Times New Roman" w:cs="Times New Roman"/>
            <w:color w:val="000000" w:themeColor="text1"/>
            <w:sz w:val="24"/>
          </w:rPr>
          <w:t xml:space="preserve"> </w:t>
        </w:r>
      </w:hyperlink>
    </w:p>
    <w:p w14:paraId="3FED7764" w14:textId="77777777" w:rsidR="00BC381E" w:rsidRDefault="00BC381E" w:rsidP="00BC381E">
      <w:pPr>
        <w:spacing w:after="0" w:line="240" w:lineRule="auto"/>
        <w:ind w:left="426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26F33" w14:textId="77777777" w:rsidR="00BC381E" w:rsidRDefault="00F03754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260B5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0DE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Komisijas priek</w:t>
      </w:r>
      <w:r w:rsidR="00D7219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šsēdētāju un Komisijas priekšsēdētāja vietnieku ievēlē no Komisijas locekļu vidus.</w:t>
      </w:r>
    </w:p>
    <w:p w14:paraId="1C2B8E9E" w14:textId="77777777" w:rsidR="00BC381E" w:rsidRDefault="00D7219F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Komisijas sēdes sasauc Komisijas priekšsēdētājs.</w:t>
      </w:r>
    </w:p>
    <w:p w14:paraId="7EED6A4F" w14:textId="77777777" w:rsidR="00BC381E" w:rsidRDefault="00D7219F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Komisijas darbu vada Komisijas priekšsēdētājs. Komisijas priekšsēdētāja prombūtnes laikā viņa pienākumus pilda Komisijas priekšsēdētāja vietnieks.</w:t>
      </w:r>
    </w:p>
    <w:p w14:paraId="78A80E14" w14:textId="77777777" w:rsidR="00BC381E" w:rsidRDefault="00D7219F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4.5.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Komisija ir lemttiesīga, ja sēdē piedalās vismaz trīs Komisijas locekļi.</w:t>
      </w:r>
    </w:p>
    <w:p w14:paraId="1BE2AE70" w14:textId="77777777" w:rsidR="00BC381E" w:rsidRDefault="00681445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4.6.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219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Komisija lēmumus pieņem ar vienkāršu balsu vairākumu, atklāti balsojot. Ja balsis sadalās līdzīgi, izšķirošā ir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D7219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omisijas priekšsēdētāja balss.</w:t>
      </w:r>
    </w:p>
    <w:p w14:paraId="4B81D5E3" w14:textId="77777777" w:rsidR="00BC381E" w:rsidRDefault="00D7219F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144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Komisijas sekre</w:t>
      </w:r>
      <w:r w:rsidR="004705D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tariāta funkcijas veic LDC.</w:t>
      </w:r>
    </w:p>
    <w:p w14:paraId="4437E63A" w14:textId="77777777" w:rsidR="00BC381E" w:rsidRDefault="004705DB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144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Komisijas locekļi tiek iepazīstināti ar Komisijas darba kārtību un informēti par Komisijas sēdes norises laiku un vietu ne vēlāk kā piecas dienas pirms Komisijas sēdes.</w:t>
      </w:r>
    </w:p>
    <w:p w14:paraId="7B2C4109" w14:textId="2F8824E6" w:rsidR="004705DB" w:rsidRPr="003B3563" w:rsidRDefault="004705DB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144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Ja notiek testa kārtošana Personām, tad Komisijas locekļi tiek iepazīstināti ar Personu iesniegtajiem dokumentiem un sagatavoto pārbaudes testu.</w:t>
      </w:r>
    </w:p>
    <w:p w14:paraId="0701F5D1" w14:textId="689A36BF" w:rsidR="004705DB" w:rsidRPr="003B3563" w:rsidRDefault="004705DB" w:rsidP="00385EE1">
      <w:pPr>
        <w:spacing w:before="120" w:after="0" w:line="240" w:lineRule="auto"/>
        <w:ind w:left="397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144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Pārbaudes testa rezultātus vērtē Komisija. Persona pārbaudes testa laikā sniedz rakstiskas atbildes uz 40 jautājumiem. Pārbaudes tests ir nokārtots, ja tajā sniegtas ne mazāk kā 36 pareizas atbildes (90 procentu).</w:t>
      </w:r>
    </w:p>
    <w:p w14:paraId="37CE5E8A" w14:textId="50744635" w:rsidR="004705DB" w:rsidRPr="003B3563" w:rsidRDefault="004705DB" w:rsidP="00385EE1">
      <w:pPr>
        <w:spacing w:after="0" w:line="240" w:lineRule="auto"/>
        <w:ind w:left="397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144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Komisija </w:t>
      </w:r>
      <w:r w:rsidR="00B7006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pieņem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lēmumu par sertifikāta izsniegšanu vai par atteikumu izsniegt sertifikātu, pamatojoties uz pārbaudes testa rezultātiem, un paziņo to </w:t>
      </w:r>
      <w:r w:rsidR="009267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ersonai.</w:t>
      </w:r>
    </w:p>
    <w:p w14:paraId="648D2E41" w14:textId="77777777" w:rsidR="00083E9C" w:rsidRDefault="004705DB" w:rsidP="00385EE1">
      <w:pPr>
        <w:spacing w:after="0" w:line="240" w:lineRule="auto"/>
        <w:ind w:left="397" w:hanging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144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6BF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Ja Komisija pieņēmusi lēmumu par sertifikāta izsniegšanu, LDC triju darbdienu laikā pēc lēmuma pieņemšanas iekļauj sertifikātā norādīto informāciju sertifikātu un apliecību ieguvušo personu reģistrā.</w:t>
      </w:r>
    </w:p>
    <w:p w14:paraId="27446867" w14:textId="77777777" w:rsidR="00083E9C" w:rsidRDefault="00086BFB" w:rsidP="00B531CD">
      <w:pPr>
        <w:spacing w:before="120"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144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Ja Komisija izs</w:t>
      </w:r>
      <w:r w:rsidR="00B7006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kata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sūdzību vai lietas materiālus par neatbilstību Personas darbībā, tad Komisijas locekļiem dokumenti tiek izsniegti triju dienu laikā no ies</w:t>
      </w:r>
      <w:r w:rsidR="00B7006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ieguma</w:t>
      </w:r>
      <w:r w:rsidR="00B7006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saņemšanas dienas.</w:t>
      </w:r>
    </w:p>
    <w:p w14:paraId="632AC8CE" w14:textId="77777777" w:rsidR="00083E9C" w:rsidRDefault="00086BFB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68144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21B0A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Komisijas locekļi detalizēti izvērtē dokumentus un sniedz savu viedokli par saņemto sūdzību, vai papildu jautājumu gadījumā, ierosina veikt papildus pārbaudi vai faktu noskaidrošanu.</w:t>
      </w:r>
    </w:p>
    <w:p w14:paraId="795491AF" w14:textId="73AD58EE" w:rsidR="00083E9C" w:rsidRDefault="005861BE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4.12. </w:t>
      </w:r>
      <w:r w:rsidR="00083E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Komisijas locekļiem </w:t>
      </w:r>
      <w:proofErr w:type="spellStart"/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virspārraudzības</w:t>
      </w:r>
      <w:proofErr w:type="spellEnd"/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rezultātu kopsavilkums vērtēšanai tiek iesniegts triju dienu laikā no virspārraudzības pārbaudes akta saņemšanas dienas.</w:t>
      </w:r>
    </w:p>
    <w:p w14:paraId="6EF1E8A9" w14:textId="5C39A1D6" w:rsidR="00083E9C" w:rsidRDefault="005861BE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4.13. </w:t>
      </w:r>
      <w:r w:rsidR="00083E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Komisijas locekļi 5 darba dienu laikā detalizēti izvērtē virspārraudzības rezultātu kopsavilkumu un sniedz savu viedokli par to, un pieņem lēmumu.</w:t>
      </w:r>
    </w:p>
    <w:p w14:paraId="66AA7518" w14:textId="77777777" w:rsidR="00B531CD" w:rsidRDefault="00C21B0A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5861B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Sēdes protokols tiek sagatavots piecu darba dienu laikā pēc katras Komisijas sēdes</w:t>
      </w:r>
      <w:r w:rsidR="002969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norises.</w:t>
      </w:r>
    </w:p>
    <w:p w14:paraId="60293F29" w14:textId="77777777" w:rsidR="00B531CD" w:rsidRDefault="0029698F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5861B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Sēdes protokols pirms parakstīšanas tiek saskaņots ar visiem Komisijas locekļiem.</w:t>
      </w:r>
    </w:p>
    <w:p w14:paraId="60E15C70" w14:textId="77777777" w:rsidR="00B531CD" w:rsidRDefault="0029698F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5861B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Sēdes protokolu paraksta Komisijas priekšsēdētājs un sekretārs.</w:t>
      </w:r>
    </w:p>
    <w:p w14:paraId="735B6599" w14:textId="77777777" w:rsidR="00B531CD" w:rsidRDefault="00681445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4.1</w:t>
      </w:r>
      <w:r w:rsidR="005861B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9698F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Komisijas sekretāra pienākumus pilda LDC norīkota persona, kas nav Komisijas loceklis.</w:t>
      </w:r>
    </w:p>
    <w:p w14:paraId="40C34F00" w14:textId="77777777" w:rsidR="00B531CD" w:rsidRDefault="0029698F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5861B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Komisijas lēmums stājas spēkā ar tā paziņošanas brīdi adresātam.</w:t>
      </w:r>
    </w:p>
    <w:p w14:paraId="19378270" w14:textId="0FEAE215" w:rsidR="00B531CD" w:rsidRDefault="00681445" w:rsidP="00385EE1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5861B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61B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1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61B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Komisijas sēdēs var tikt pieaicināti lopkopības eksperti, kam ir padomdevēja tiesības.</w:t>
      </w:r>
    </w:p>
    <w:p w14:paraId="1BD4A179" w14:textId="77777777" w:rsidR="0020649F" w:rsidRDefault="0020649F" w:rsidP="0020649F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9A94F2" w14:textId="6D9FD7D4" w:rsidR="00B531CD" w:rsidRDefault="00BC381E" w:rsidP="0020649F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  </w:t>
      </w:r>
      <w:r w:rsidR="0029698F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Sertifikāta apturēšana un anulēšana</w:t>
      </w:r>
    </w:p>
    <w:p w14:paraId="2827D9A0" w14:textId="77777777" w:rsidR="0020649F" w:rsidRDefault="0020649F" w:rsidP="0020649F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AB953" w14:textId="77777777" w:rsidR="00B531CD" w:rsidRDefault="0029698F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B531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Ja persona, kas ir saņēmusi sertifikātu, nepilda normatīvo aktu prasības dzīvnieku audzēšanas, ciltsdarba vai veterinārmedic</w:t>
      </w:r>
      <w:r w:rsidR="00D42397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ī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42397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s jomā vai ir sniegusi nepatiesu informāciju</w:t>
      </w:r>
      <w:r w:rsidR="00434DCA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, Komisija lemj uz laiku apturēt sertifikāta darbību, līdz persona ir apmeklējusi kvalifikācijas paaugstināšanas pasākumus saskaņā ar Noteikumu 21.punktu un atbilstoši Noteikumu 10.punktam atkārtoti nokārtojusi pārbaudes testu.</w:t>
      </w:r>
    </w:p>
    <w:p w14:paraId="427CEB9D" w14:textId="77777777" w:rsidR="00B531CD" w:rsidRDefault="00434DCA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Ja persona, kas ir saņēmusi ser</w:t>
      </w:r>
      <w:r w:rsidR="00C618C3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ifikātu, piecu gadu laikā nav paaugstinājusi kvalifikāciju attiecīgajā darbības jomā, Komisija lemj uz laiku apturēt sertifikāta darbību, līdz persona ir paaugstinā</w:t>
      </w:r>
      <w:r w:rsidR="00C618C3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usi kvalifikāciju saskaņā ar Noteikumu 21.punktu un atbilstoši  Noteikumu 10.punktam atkārtoti nokārtojusi pārbaudes testu.</w:t>
      </w:r>
    </w:p>
    <w:p w14:paraId="097A955E" w14:textId="4D67B95B" w:rsidR="00434DCA" w:rsidRPr="00B531CD" w:rsidRDefault="00434DCA" w:rsidP="00B531CD">
      <w:pPr>
        <w:spacing w:after="0" w:line="240" w:lineRule="auto"/>
        <w:ind w:left="8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C14">
        <w:rPr>
          <w:rFonts w:ascii="Times New Roman" w:hAnsi="Times New Roman" w:cs="Times New Roman"/>
          <w:sz w:val="24"/>
          <w:szCs w:val="24"/>
        </w:rPr>
        <w:t>5.3.</w:t>
      </w:r>
      <w:r w:rsidRPr="005A7C14">
        <w:rPr>
          <w:rFonts w:ascii="Times New Roman" w:hAnsi="Times New Roman" w:cs="Times New Roman"/>
          <w:sz w:val="24"/>
          <w:szCs w:val="24"/>
        </w:rPr>
        <w:tab/>
      </w:r>
      <w:r w:rsidR="000B135B" w:rsidRPr="005A7C14">
        <w:rPr>
          <w:rFonts w:ascii="Times New Roman" w:hAnsi="Times New Roman" w:cs="Times New Roman"/>
          <w:sz w:val="24"/>
          <w:szCs w:val="24"/>
        </w:rPr>
        <w:t>Komisija lemj par sertifikāta anulēšanu, ja Persona:</w:t>
      </w:r>
    </w:p>
    <w:p w14:paraId="14EC0B75" w14:textId="16EE88D3" w:rsidR="00083E9C" w:rsidRDefault="0053585E" w:rsidP="00B531CD">
      <w:pPr>
        <w:spacing w:before="60" w:after="60" w:line="240" w:lineRule="auto"/>
        <w:ind w:left="4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35B" w:rsidRPr="005A7C14">
        <w:rPr>
          <w:rFonts w:ascii="Times New Roman" w:hAnsi="Times New Roman" w:cs="Times New Roman"/>
          <w:sz w:val="24"/>
          <w:szCs w:val="24"/>
        </w:rPr>
        <w:t>5.3.1.</w:t>
      </w:r>
      <w:r w:rsidR="000B135B" w:rsidRPr="005A7C14">
        <w:rPr>
          <w:rFonts w:ascii="Times New Roman" w:hAnsi="Times New Roman" w:cs="Times New Roman"/>
          <w:sz w:val="24"/>
          <w:szCs w:val="24"/>
        </w:rPr>
        <w:tab/>
        <w:t>savas darbības un bezdarbības dēļ ir radījusi zaudējumus ganāmpulka īpašniekam;</w:t>
      </w:r>
    </w:p>
    <w:p w14:paraId="55187094" w14:textId="580A64DD" w:rsidR="000B135B" w:rsidRPr="005A7C14" w:rsidRDefault="00083E9C" w:rsidP="00B531CD">
      <w:pPr>
        <w:spacing w:before="60" w:after="60" w:line="240" w:lineRule="auto"/>
        <w:ind w:left="4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135B" w:rsidRPr="005A7C14">
        <w:rPr>
          <w:rFonts w:ascii="Times New Roman" w:hAnsi="Times New Roman" w:cs="Times New Roman"/>
          <w:sz w:val="24"/>
          <w:szCs w:val="24"/>
        </w:rPr>
        <w:t>5.3.2.</w:t>
      </w:r>
      <w:r w:rsidR="000B135B" w:rsidRPr="005A7C14">
        <w:rPr>
          <w:rFonts w:ascii="Times New Roman" w:hAnsi="Times New Roman" w:cs="Times New Roman"/>
          <w:sz w:val="24"/>
          <w:szCs w:val="24"/>
        </w:rPr>
        <w:tab/>
        <w:t>atkārtoti pārkāpusi normatīvo aktu prasības dzīvnieku audzēšanas, ciltsdarba vai veterinārmedicīnas jomā vai sniegusi nepatiesu informāciju;</w:t>
      </w:r>
    </w:p>
    <w:p w14:paraId="1C22C25F" w14:textId="21CC5857" w:rsidR="000B135B" w:rsidRPr="005A7C14" w:rsidRDefault="00083E9C" w:rsidP="00B531CD">
      <w:pPr>
        <w:spacing w:before="60" w:after="60" w:line="240" w:lineRule="auto"/>
        <w:ind w:left="4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135B" w:rsidRPr="005A7C14">
        <w:rPr>
          <w:rFonts w:ascii="Times New Roman" w:hAnsi="Times New Roman" w:cs="Times New Roman"/>
          <w:sz w:val="24"/>
          <w:szCs w:val="24"/>
        </w:rPr>
        <w:t>5.3.3.</w:t>
      </w:r>
      <w:r w:rsidR="000B135B" w:rsidRPr="005A7C14">
        <w:rPr>
          <w:rFonts w:ascii="Times New Roman" w:hAnsi="Times New Roman" w:cs="Times New Roman"/>
          <w:sz w:val="24"/>
          <w:szCs w:val="24"/>
        </w:rPr>
        <w:tab/>
        <w:t>triju gadu laikā nav veikusi darbību sertifikātā norādītajā jomā;</w:t>
      </w:r>
    </w:p>
    <w:p w14:paraId="21460033" w14:textId="3765C438" w:rsidR="00F761F9" w:rsidRPr="005A7C14" w:rsidRDefault="00083E9C" w:rsidP="00B531CD">
      <w:pPr>
        <w:spacing w:before="60" w:after="60" w:line="240" w:lineRule="auto"/>
        <w:ind w:left="4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1F9" w:rsidRPr="005A7C14">
        <w:rPr>
          <w:rFonts w:ascii="Times New Roman" w:hAnsi="Times New Roman" w:cs="Times New Roman"/>
          <w:sz w:val="24"/>
          <w:szCs w:val="24"/>
        </w:rPr>
        <w:t>5.3.4.</w:t>
      </w:r>
      <w:r w:rsidR="00F761F9" w:rsidRPr="005A7C14">
        <w:rPr>
          <w:rFonts w:ascii="Times New Roman" w:hAnsi="Times New Roman" w:cs="Times New Roman"/>
          <w:sz w:val="24"/>
          <w:szCs w:val="24"/>
        </w:rPr>
        <w:tab/>
        <w:t>Ja pieņemts lēmums par sertifikāta anulēšanu, Persona iesniegumu jauna sertifikāta saņemšanai attiecīgajā darbības jomā var iesnie</w:t>
      </w:r>
      <w:r w:rsidR="00B25F0A" w:rsidRPr="005A7C14">
        <w:rPr>
          <w:rFonts w:ascii="Times New Roman" w:hAnsi="Times New Roman" w:cs="Times New Roman"/>
          <w:sz w:val="24"/>
          <w:szCs w:val="24"/>
        </w:rPr>
        <w:t>g</w:t>
      </w:r>
      <w:r w:rsidR="00F761F9" w:rsidRPr="005A7C14">
        <w:rPr>
          <w:rFonts w:ascii="Times New Roman" w:hAnsi="Times New Roman" w:cs="Times New Roman"/>
          <w:sz w:val="24"/>
          <w:szCs w:val="24"/>
        </w:rPr>
        <w:t>t pēc pusgada no dienas, kad paziņots lēmums par sertifikāta anulēšanu.</w:t>
      </w:r>
    </w:p>
    <w:p w14:paraId="74C89444" w14:textId="77777777" w:rsidR="00372D0D" w:rsidRDefault="00372D0D" w:rsidP="0037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4224072"/>
    </w:p>
    <w:p w14:paraId="0F8C4A4C" w14:textId="474F597A" w:rsidR="00F761F9" w:rsidRPr="003B3563" w:rsidRDefault="00F761F9" w:rsidP="00372D0D">
      <w:pPr>
        <w:spacing w:after="0" w:line="240" w:lineRule="auto"/>
        <w:ind w:left="-6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BC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Apliecības izsniegšana, apturēšana</w:t>
      </w:r>
      <w:r w:rsidR="00383E10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</w:t>
      </w: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atsaukšana</w:t>
      </w:r>
    </w:p>
    <w:p w14:paraId="0DE79080" w14:textId="77777777" w:rsidR="000A16F2" w:rsidRPr="003B3563" w:rsidRDefault="000A16F2" w:rsidP="00372D0D">
      <w:pPr>
        <w:spacing w:after="0" w:line="240" w:lineRule="auto"/>
        <w:ind w:left="-6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5"/>
    <w:p w14:paraId="3E8848A5" w14:textId="339233A2" w:rsidR="00F761F9" w:rsidRPr="003B3563" w:rsidRDefault="00F761F9" w:rsidP="00B531CD">
      <w:pPr>
        <w:spacing w:after="0" w:line="240" w:lineRule="auto"/>
        <w:ind w:left="-57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Datu centrs pēc personas pieprasījuma izsniedz apliecību papīra dokumenta formā. Izglītības iestāde vai komersants personai izsniedz apmācību apliecinošu dokumentu.</w:t>
      </w:r>
    </w:p>
    <w:p w14:paraId="0AD3AB24" w14:textId="147D9EA3" w:rsidR="00F761F9" w:rsidRPr="003B3563" w:rsidRDefault="00F761F9" w:rsidP="00B531CD">
      <w:pPr>
        <w:spacing w:after="0" w:line="240" w:lineRule="auto"/>
        <w:ind w:left="-57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6.2.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Ja persona, kas ir saņēmusi apliecību, nepilda normatīvo aktu prasības dzīvnieku audzēšanas, ciltsdarba vai veterinārmedicīnas jomā vai ir sniegusi nepatiesu informāciju, Komisija lemj uz laiku apturēt</w:t>
      </w:r>
      <w:r w:rsidR="008E18C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apliecības darbību, līdz persona ir apmeklējusi kvalifikācijas paaugstināš</w:t>
      </w:r>
      <w:r w:rsidR="00C618C3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E18C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nas pasākumus saskaņā ar Noteikumu 36. punktu.</w:t>
      </w:r>
    </w:p>
    <w:p w14:paraId="5B0834D9" w14:textId="2390490B" w:rsidR="008E18C5" w:rsidRPr="003B3563" w:rsidRDefault="008232C1" w:rsidP="00B531CD">
      <w:pPr>
        <w:spacing w:after="0" w:line="240" w:lineRule="auto"/>
        <w:ind w:left="-57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6.3.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Ja persona, kura</w:t>
      </w:r>
      <w:r w:rsidR="008E18C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saņēmusi apliecību, piecu gadu laikā nav paaugstinājusi kvalifikāciju attiecīgajā darbības jomā, Komisija lemj uz laiku apturēt apliecības darbību, līdz persona ir paaugstinājusi kvalifikāciju saskaņā ar Noteikumu 36. punktu.</w:t>
      </w:r>
    </w:p>
    <w:p w14:paraId="4FCB387D" w14:textId="77777777" w:rsidR="006872D6" w:rsidRPr="003B3563" w:rsidRDefault="008E18C5" w:rsidP="00B531CD">
      <w:pPr>
        <w:spacing w:after="0" w:line="240" w:lineRule="auto"/>
        <w:ind w:left="-57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6.4.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Komisija lemj par apliecības atsaukšanu, ja Persona:</w:t>
      </w:r>
    </w:p>
    <w:p w14:paraId="390C7CCA" w14:textId="77777777" w:rsidR="006872D6" w:rsidRPr="003B3563" w:rsidRDefault="008E18C5" w:rsidP="00372D0D">
      <w:pPr>
        <w:spacing w:before="120" w:after="120" w:line="240" w:lineRule="auto"/>
        <w:ind w:left="340" w:hanging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6.4.1.</w:t>
      </w:r>
      <w:r w:rsidR="00B25F0A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EC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atkārtoti ir pārkāpusi normatīvo aktu prasības dzīvnieku audzēšanas,</w:t>
      </w:r>
      <w:r w:rsidR="003F3697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EC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ciltsdarba vai veterinārmedicīnas jomā vai sniegusi nepatiesu informāciju;</w:t>
      </w:r>
    </w:p>
    <w:p w14:paraId="1DF3426F" w14:textId="77777777" w:rsidR="006872D6" w:rsidRPr="003B3563" w:rsidRDefault="001F2ECD" w:rsidP="00372D0D">
      <w:pPr>
        <w:spacing w:before="120" w:after="120" w:line="240" w:lineRule="auto"/>
        <w:ind w:left="340" w:hanging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6.4.2.</w:t>
      </w:r>
      <w:r w:rsidR="00383E1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triju gadu laikā nav veikusi darbību apliecībā norādīt</w:t>
      </w:r>
      <w:r w:rsidR="008232C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jā jomā</w:t>
      </w:r>
      <w:r w:rsidR="00383E1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F37802" w14:textId="47436A56" w:rsidR="00385EE1" w:rsidRDefault="006872D6" w:rsidP="0020649F">
      <w:pPr>
        <w:spacing w:before="120" w:after="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6.5.</w:t>
      </w:r>
      <w:r w:rsidR="005A7C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EC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Ja pieņemts lēmums par apliecības atsaukšanu, Persona iesniegumu jaunas apliecības saņemšanai attiecīgajā darbības jomā var iesniegt pēc pusgada no dienas, kad paziņots lēmums par apliecības atsaukšanu.</w:t>
      </w:r>
    </w:p>
    <w:p w14:paraId="2406B342" w14:textId="77777777" w:rsidR="004F466A" w:rsidRPr="0020649F" w:rsidRDefault="004F466A" w:rsidP="0020649F">
      <w:pPr>
        <w:spacing w:before="120" w:after="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DFB09" w14:textId="77777777" w:rsidR="00372D0D" w:rsidRDefault="00843862" w:rsidP="004F466A">
      <w:pPr>
        <w:spacing w:after="0" w:line="240" w:lineRule="auto"/>
        <w:ind w:left="-5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6108BB"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7C14"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E413D"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LDC </w:t>
      </w:r>
      <w:proofErr w:type="spellStart"/>
      <w:r w:rsidR="00E9178D"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6108BB"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irspārraudzības</w:t>
      </w:r>
      <w:proofErr w:type="spellEnd"/>
      <w:r w:rsidR="006108BB"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rezultātu izvērtēšana</w:t>
      </w:r>
    </w:p>
    <w:p w14:paraId="3017BEF9" w14:textId="77777777" w:rsidR="004F466A" w:rsidRDefault="004F466A" w:rsidP="004F466A">
      <w:pPr>
        <w:spacing w:after="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GoBack"/>
      <w:bookmarkEnd w:id="6"/>
    </w:p>
    <w:p w14:paraId="3672A869" w14:textId="77777777" w:rsidR="00372D0D" w:rsidRDefault="000C3629" w:rsidP="00372D0D">
      <w:pPr>
        <w:spacing w:before="120" w:after="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="00383E1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37B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LDC katru gadu līdz </w:t>
      </w:r>
      <w:r w:rsidR="00F22EB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1.decembrim i</w:t>
      </w:r>
      <w:r w:rsidR="006872D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esniedz K</w:t>
      </w:r>
      <w:r w:rsidR="00A737B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omisijai piena šķirņu govju un kazu</w:t>
      </w:r>
      <w:r w:rsidR="00D2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7B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virspārraudzības rezultātu</w:t>
      </w:r>
      <w:r w:rsidR="00F22EB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aktu par </w:t>
      </w:r>
      <w:r w:rsidR="002E6C4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noslēgtā </w:t>
      </w:r>
      <w:r w:rsidR="00F22EB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pārraudzības gada rezultātiem</w:t>
      </w:r>
      <w:r w:rsidR="00A737B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721D992" w14:textId="67B3821C" w:rsidR="006108BB" w:rsidRPr="003B3563" w:rsidRDefault="006108BB" w:rsidP="00372D0D">
      <w:pPr>
        <w:spacing w:before="120" w:after="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7.2.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Komisija, </w:t>
      </w:r>
      <w:r w:rsidR="00A737B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LDC iesniegtos virspārraudzības rezultātus</w:t>
      </w:r>
      <w:r w:rsidR="006872D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37B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izvērtē saskaņā ar Noteikumu Nr.228 prasībām un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pieņem lēmumu par attiecīgā ganāmpulka pārraudzības datu</w:t>
      </w:r>
      <w:r w:rsidRPr="003B3563">
        <w:rPr>
          <w:rFonts w:ascii="Times New Roman" w:hAnsi="Times New Roman" w:cs="Times New Roman"/>
          <w:color w:val="000000" w:themeColor="text1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anulēšanu un reģistrācijas apturēšanu, ja:</w:t>
      </w:r>
    </w:p>
    <w:p w14:paraId="38A4610C" w14:textId="32EA0284" w:rsidR="006108BB" w:rsidRPr="003B3563" w:rsidRDefault="006108BB" w:rsidP="00372D0D">
      <w:pPr>
        <w:spacing w:before="120" w:after="120" w:line="240" w:lineRule="auto"/>
        <w:ind w:left="22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7.2.1.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72D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piena daudzuma mērīšanas līdzekļi neatbilst </w:t>
      </w:r>
      <w:r w:rsidR="000C3629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Noteikumu Nr.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228. prasībām;</w:t>
      </w:r>
    </w:p>
    <w:p w14:paraId="20090B8F" w14:textId="6A82F32D" w:rsidR="00E37EEE" w:rsidRPr="003B3563" w:rsidRDefault="006108BB" w:rsidP="00372D0D">
      <w:pPr>
        <w:spacing w:before="120" w:after="120" w:line="240" w:lineRule="auto"/>
        <w:ind w:left="22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7.2.2.</w:t>
      </w:r>
      <w:r w:rsidR="005A7C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E37EE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piena pa</w:t>
      </w:r>
      <w:r w:rsidR="006872D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raugu </w:t>
      </w:r>
      <w:r w:rsidR="00E37EE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ņemšana vai pārraudzības datu reģistrēšana neatbilst Noteikum</w:t>
      </w:r>
      <w:r w:rsidR="00E75AC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37EE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Nr.228 prasībām;</w:t>
      </w:r>
    </w:p>
    <w:p w14:paraId="152BED3E" w14:textId="3240C2CB" w:rsidR="006108BB" w:rsidRPr="003B3563" w:rsidRDefault="00E37EEE" w:rsidP="00372D0D">
      <w:pPr>
        <w:spacing w:before="120" w:after="120" w:line="240" w:lineRule="auto"/>
        <w:ind w:left="22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7.2.3.</w:t>
      </w:r>
      <w:r w:rsidR="005A7C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personai, kas veic pārraudzību vai snieguma pārbaudi, nav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izsniegta sertifikāta vai apliecības 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saskaņā ar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Noteikumu Nr. 116. prasībām. </w:t>
      </w:r>
    </w:p>
    <w:p w14:paraId="3247A8A7" w14:textId="77777777" w:rsidR="005A7C14" w:rsidRDefault="006108BB" w:rsidP="00372D0D">
      <w:pPr>
        <w:spacing w:before="120" w:after="12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7.3.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Komisija, pamatojoties uz virspārraudzības laikā konstatēto, pieņem lēmumu par attiecīgā ganāmpulka pārraudzības datu anulēšanu par attiecīgo periodu, </w:t>
      </w:r>
      <w:r w:rsidR="00E37EE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atbilstoši Noteikumu Nr.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228. </w:t>
      </w:r>
      <w:r w:rsidR="00E37EE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60.2. apakšpunktam.</w:t>
      </w:r>
    </w:p>
    <w:p w14:paraId="79F2438F" w14:textId="77777777" w:rsidR="005A7C14" w:rsidRDefault="006108BB" w:rsidP="00372D0D">
      <w:pPr>
        <w:spacing w:before="120" w:after="12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E75AC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Ja Komisija saskaņā ar </w:t>
      </w:r>
      <w:r w:rsidR="00E37EE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Noteikumu Nr.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228. </w:t>
      </w:r>
      <w:r w:rsidR="006872D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60. punktu pieņēmusi lēmumu par ganāmpulka pārraudzības datu anulēšanu, datu centrs datubāzē attiecīgā ganāmpulka pārraudzības datiem pievieno atzīmi, ka minētie dati nav izmantojami ciltsdarbā.</w:t>
      </w:r>
    </w:p>
    <w:p w14:paraId="62C25BDB" w14:textId="77777777" w:rsidR="005A7C14" w:rsidRDefault="006108BB" w:rsidP="00372D0D">
      <w:pPr>
        <w:spacing w:before="120" w:after="12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E75AC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Pēc virspārraudzības laikā konstatēto nepilnību novēršanas, Komisija pieņem lēmumu par ganāmpulka pārraudzības datu reģistrācijas atjaunošanu.</w:t>
      </w:r>
    </w:p>
    <w:p w14:paraId="45E16A70" w14:textId="77777777" w:rsidR="005A7C14" w:rsidRDefault="00E37EEE" w:rsidP="00372D0D">
      <w:pPr>
        <w:spacing w:before="120" w:after="12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E75AC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7C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Virspārraudzības rezultātu atbilstības </w:t>
      </w:r>
      <w:r w:rsidR="00926770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pārbaudi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veic atbilstoši šī nolikuma 1.pielikuma metodikai.</w:t>
      </w:r>
    </w:p>
    <w:p w14:paraId="63AC2F28" w14:textId="77777777" w:rsidR="00372D0D" w:rsidRDefault="00FD4754" w:rsidP="00372D0D">
      <w:pPr>
        <w:spacing w:before="120" w:after="12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7.7.</w:t>
      </w:r>
      <w:r w:rsidR="005A7C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Ganāmpulka īpašniekam un pārraugam ir pienākums sniegt Komisijai visu nepieciešamo informāciju, lai varētu veikt pārbaudes atbilstoši </w:t>
      </w:r>
      <w:r w:rsidR="000A16F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16F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punktā minētajai metodikai.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4F0D5D" w14:textId="77777777" w:rsidR="00372D0D" w:rsidRDefault="00E75AC1" w:rsidP="00372D0D">
      <w:pPr>
        <w:spacing w:before="120" w:after="12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="005A7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413D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D009EF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nieg</w:t>
      </w:r>
      <w:r w:rsidR="009E413D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uma</w:t>
      </w:r>
      <w:r w:rsidR="00D009EF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pārbaudes</w:t>
      </w:r>
      <w:r w:rsidR="009E413D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08BB"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 izcelsmes </w:t>
      </w:r>
      <w:r w:rsidR="006108BB" w:rsidRPr="00083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datu virspārraudzīb</w:t>
      </w:r>
      <w:r w:rsidRPr="00083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083E9C" w:rsidRPr="00083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2CAB239" w14:textId="77777777" w:rsidR="00372D0D" w:rsidRDefault="00E75AC1" w:rsidP="00372D0D">
      <w:pPr>
        <w:spacing w:before="120" w:after="12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8.1.</w:t>
      </w:r>
      <w:r w:rsidRPr="003B3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7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Biedrības </w:t>
      </w:r>
      <w:r w:rsidR="00E60028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iesniegto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pārbaudes aktu </w:t>
      </w:r>
      <w:r w:rsidR="00E60028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konstatētām </w:t>
      </w:r>
      <w:r w:rsidR="006D153E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slaucamo govju un slaucamo kazu </w:t>
      </w:r>
      <w:r w:rsidR="009E413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snieguma pārbaudes un izcelsmes datu </w:t>
      </w:r>
      <w:r w:rsidR="00E60028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neatbilstībām </w:t>
      </w:r>
      <w:r w:rsidR="000A16F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Komisija izvērtē</w:t>
      </w:r>
      <w:r w:rsidR="000A16F2"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60028"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saskaņā ar Noteikumu Nr.</w:t>
      </w:r>
      <w:r w:rsidR="00E60028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228 prasībām</w:t>
      </w:r>
      <w:r w:rsidR="000F6B33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413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3BABF4" w14:textId="77777777" w:rsidR="00372D0D" w:rsidRDefault="009E413D" w:rsidP="00372D0D">
      <w:pPr>
        <w:spacing w:before="120" w:after="12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8.2. Biedrības iesniegto informāciju par konstatētām neatbilstībām snieguma pārbaudes datos, kas iegūta lauksaimniecības dzīvnieku audzēšanas programmas paškontroles procedūru izvērtēšanas procesā, Komisija izvērtē saskaņā ar Noteikumu Nr.796 </w:t>
      </w:r>
      <w:r w:rsidR="000F6B33"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prasībām.</w:t>
      </w:r>
    </w:p>
    <w:p w14:paraId="305B115D" w14:textId="7640929E" w:rsidR="006108BB" w:rsidRPr="00372D0D" w:rsidRDefault="00E60028" w:rsidP="00372D0D">
      <w:pPr>
        <w:spacing w:before="120" w:after="12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</w:t>
      </w:r>
      <w:r w:rsidR="000F6B33"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A7C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108BB"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Komisija</w:t>
      </w:r>
      <w:r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108BB" w:rsidRPr="003B3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pieņem lēmumu par attiecīgo eksterjera vērtēšanas datu anulēšanu, ja:</w:t>
      </w:r>
    </w:p>
    <w:p w14:paraId="30B5D848" w14:textId="4B9D86F4" w:rsidR="006108BB" w:rsidRPr="003B3563" w:rsidRDefault="00E60028" w:rsidP="00372D0D">
      <w:pPr>
        <w:spacing w:after="0" w:line="240" w:lineRule="auto"/>
        <w:ind w:left="28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0F6B33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eksterjera vērtējums nav iegūts saskaņā ar prasībām, kas noteiktas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Noteikumos Nr.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228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attiecīgās šķirnes </w:t>
      </w:r>
      <w:r w:rsidR="000A16F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lauksaimniecības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dzīvnieku 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audzēšanas programmā</w:t>
      </w:r>
      <w:r w:rsidR="00E9178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, kas izstrādāta atbilstoši Noteikumu Nr.796 prasībām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DB58F2" w14:textId="480EA9B7" w:rsidR="006108BB" w:rsidRDefault="00E60028" w:rsidP="00372D0D">
      <w:pPr>
        <w:spacing w:after="0" w:line="240" w:lineRule="auto"/>
        <w:ind w:left="28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8.</w:t>
      </w:r>
      <w:r w:rsidR="000F6B33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D2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6F2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108BB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ersonai, kas veic eksterjera vērtēšanu, nav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izsniegts sertifikāts </w:t>
      </w:r>
      <w:r w:rsidR="00FD475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atbilstoši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Noteikum</w:t>
      </w:r>
      <w:r w:rsidR="00FD475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116 </w:t>
      </w:r>
      <w:r w:rsidR="00FD4754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prasībām.</w:t>
      </w:r>
    </w:p>
    <w:p w14:paraId="7A42858A" w14:textId="77777777" w:rsidR="00083E9C" w:rsidRPr="003B3563" w:rsidRDefault="00083E9C" w:rsidP="00D218A9">
      <w:pPr>
        <w:spacing w:after="0" w:line="240" w:lineRule="auto"/>
        <w:ind w:left="567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61122" w14:textId="015A5ACC" w:rsidR="006108BB" w:rsidRPr="00D218A9" w:rsidRDefault="00FD4754" w:rsidP="00372D0D">
      <w:pPr>
        <w:spacing w:after="0" w:line="240" w:lineRule="auto"/>
        <w:ind w:left="-5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="006108BB" w:rsidRPr="00D21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Komisijas locekļu atbildība</w:t>
      </w:r>
    </w:p>
    <w:p w14:paraId="592CE7D1" w14:textId="77777777" w:rsidR="006108BB" w:rsidRPr="003B3563" w:rsidRDefault="006108BB" w:rsidP="00372D0D">
      <w:pPr>
        <w:spacing w:after="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09A3D4" w14:textId="093F6049" w:rsidR="001F2ECD" w:rsidRPr="003B3563" w:rsidRDefault="00FD4754" w:rsidP="00372D0D">
      <w:pPr>
        <w:spacing w:after="0" w:line="240" w:lineRule="auto"/>
        <w:ind w:left="-5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F2EC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D218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ECD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Komisijas locekļu pienākums ir izskatīt iepriekš izsūtīto dokumentāciju un jautājumu gadījumā vērsties pie Komisijas priekšsēdētāja pirms Komisijas sēdes.</w:t>
      </w:r>
    </w:p>
    <w:p w14:paraId="1FE6167F" w14:textId="524AD258" w:rsidR="003445DC" w:rsidRPr="003B3563" w:rsidRDefault="00FD4754" w:rsidP="00372D0D">
      <w:pPr>
        <w:spacing w:after="0" w:line="240" w:lineRule="auto"/>
        <w:ind w:left="-5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445D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3445D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Komisijas locekļu pienākums ir nodrošināt dalību sēdēs un lēmumu pieņemšanu laikā</w:t>
      </w:r>
      <w:r w:rsidR="003864D6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nodrošināt virspārraudzības rezultātu atbilstības izvērtēšanu laikā.</w:t>
      </w:r>
    </w:p>
    <w:p w14:paraId="0F0675F0" w14:textId="5F5D98F9" w:rsidR="003445DC" w:rsidRPr="003B3563" w:rsidRDefault="00FD4754" w:rsidP="00372D0D">
      <w:pPr>
        <w:spacing w:after="0" w:line="240" w:lineRule="auto"/>
        <w:ind w:left="-5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445D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3445D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Komisijas locekļiem nav tiesību izpaust trešajām personām informāciju, kas tiem kļuvusi zināma, izvērtējot Personas atbilstību</w:t>
      </w:r>
      <w:r w:rsidR="00D2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925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/ virspārraudzības rezultātus</w:t>
      </w:r>
      <w:r w:rsidR="003445D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6186A6" w14:textId="58B5D75B" w:rsidR="003445DC" w:rsidRPr="003B3563" w:rsidRDefault="00FD4754" w:rsidP="00372D0D">
      <w:pPr>
        <w:spacing w:after="0" w:line="240" w:lineRule="auto"/>
        <w:ind w:left="-5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445D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3445D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Gadījumā, ja tiek konstatēts, ka kāds no Komisijas locekļiem nav ievērojis konfidencialitātes principu vai izmantojis informāciju savtīgiem nolūkiem, Komisijas locekļi pieņem lēmumu konkrēto personu turpmāk Komisijas sastāvā neiekļaut.</w:t>
      </w:r>
    </w:p>
    <w:p w14:paraId="6550F53C" w14:textId="5313B26C" w:rsidR="003445DC" w:rsidRPr="003B3563" w:rsidRDefault="00FD4754" w:rsidP="00372D0D">
      <w:pPr>
        <w:spacing w:after="0" w:line="240" w:lineRule="auto"/>
        <w:ind w:left="-5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445D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.5.</w:t>
      </w:r>
      <w:r w:rsidR="003445DC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Visi Komisijas locekļi ir atbildīgi par Komisijas sēdē pieņemtajiem lēmumiem.</w:t>
      </w:r>
    </w:p>
    <w:p w14:paraId="7812D03E" w14:textId="3E9D86A5" w:rsidR="003445DC" w:rsidRPr="003B3563" w:rsidRDefault="003445DC" w:rsidP="00B25B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33BC9" w14:textId="77777777" w:rsidR="00B25B07" w:rsidRPr="003B3563" w:rsidRDefault="00B25B07" w:rsidP="00B25B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AC3A7" w14:textId="77777777" w:rsidR="00B25B07" w:rsidRPr="003B3563" w:rsidRDefault="00B25B07" w:rsidP="004E7EB7">
      <w:pPr>
        <w:spacing w:after="0" w:line="240" w:lineRule="auto"/>
        <w:ind w:left="567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84CB0" w14:textId="2D740D55" w:rsidR="00F4565B" w:rsidRPr="003B3563" w:rsidRDefault="003445DC" w:rsidP="00B25B07">
      <w:pPr>
        <w:spacing w:after="0" w:line="240" w:lineRule="auto"/>
        <w:ind w:left="567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>LDC direktors     ___________________________________</w:t>
      </w:r>
      <w:r w:rsidR="00DF3741"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B3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Ivans Vorslovs</w:t>
      </w:r>
    </w:p>
    <w:sectPr w:rsidR="00F4565B" w:rsidRPr="003B3563" w:rsidSect="003445DC">
      <w:pgSz w:w="11906" w:h="16838"/>
      <w:pgMar w:top="1418" w:right="1558" w:bottom="1418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4B"/>
    <w:rsid w:val="00023357"/>
    <w:rsid w:val="00083E9C"/>
    <w:rsid w:val="00086BFB"/>
    <w:rsid w:val="00090C2E"/>
    <w:rsid w:val="000A16F2"/>
    <w:rsid w:val="000B135B"/>
    <w:rsid w:val="000B2D2D"/>
    <w:rsid w:val="000B33DF"/>
    <w:rsid w:val="000C3629"/>
    <w:rsid w:val="000F6B33"/>
    <w:rsid w:val="0013577C"/>
    <w:rsid w:val="0017726B"/>
    <w:rsid w:val="00180EF5"/>
    <w:rsid w:val="001B0F83"/>
    <w:rsid w:val="001B3E34"/>
    <w:rsid w:val="001D3414"/>
    <w:rsid w:val="001F2ECD"/>
    <w:rsid w:val="0020649F"/>
    <w:rsid w:val="0021444E"/>
    <w:rsid w:val="00227A4B"/>
    <w:rsid w:val="00260B5F"/>
    <w:rsid w:val="0029698F"/>
    <w:rsid w:val="002C4FEF"/>
    <w:rsid w:val="002E6C4C"/>
    <w:rsid w:val="002F06A3"/>
    <w:rsid w:val="003445DC"/>
    <w:rsid w:val="00356686"/>
    <w:rsid w:val="00371770"/>
    <w:rsid w:val="00372D0D"/>
    <w:rsid w:val="00383E10"/>
    <w:rsid w:val="00385EE1"/>
    <w:rsid w:val="003864D6"/>
    <w:rsid w:val="003B3563"/>
    <w:rsid w:val="003F3697"/>
    <w:rsid w:val="00434DCA"/>
    <w:rsid w:val="004705DB"/>
    <w:rsid w:val="004A3B92"/>
    <w:rsid w:val="004A505C"/>
    <w:rsid w:val="004B6370"/>
    <w:rsid w:val="004E7EB7"/>
    <w:rsid w:val="004F466A"/>
    <w:rsid w:val="0053585E"/>
    <w:rsid w:val="00535EDF"/>
    <w:rsid w:val="005861BE"/>
    <w:rsid w:val="005A7C14"/>
    <w:rsid w:val="0060478F"/>
    <w:rsid w:val="006108BB"/>
    <w:rsid w:val="00681445"/>
    <w:rsid w:val="006872D6"/>
    <w:rsid w:val="006D153E"/>
    <w:rsid w:val="007427AD"/>
    <w:rsid w:val="0074527D"/>
    <w:rsid w:val="007833DB"/>
    <w:rsid w:val="0079017F"/>
    <w:rsid w:val="007B0DE1"/>
    <w:rsid w:val="007C5641"/>
    <w:rsid w:val="00807E72"/>
    <w:rsid w:val="00811292"/>
    <w:rsid w:val="008232C1"/>
    <w:rsid w:val="00843862"/>
    <w:rsid w:val="008640BD"/>
    <w:rsid w:val="0089079B"/>
    <w:rsid w:val="008E18C5"/>
    <w:rsid w:val="00926770"/>
    <w:rsid w:val="0098446E"/>
    <w:rsid w:val="009C3229"/>
    <w:rsid w:val="009C6912"/>
    <w:rsid w:val="009E413D"/>
    <w:rsid w:val="009F6632"/>
    <w:rsid w:val="00A05199"/>
    <w:rsid w:val="00A737B0"/>
    <w:rsid w:val="00A73A84"/>
    <w:rsid w:val="00AE6BC2"/>
    <w:rsid w:val="00B25B07"/>
    <w:rsid w:val="00B25F0A"/>
    <w:rsid w:val="00B320D7"/>
    <w:rsid w:val="00B531CD"/>
    <w:rsid w:val="00B70064"/>
    <w:rsid w:val="00B96965"/>
    <w:rsid w:val="00BC381E"/>
    <w:rsid w:val="00BF67EB"/>
    <w:rsid w:val="00C21B0A"/>
    <w:rsid w:val="00C618C3"/>
    <w:rsid w:val="00C71925"/>
    <w:rsid w:val="00C968E9"/>
    <w:rsid w:val="00CB7C50"/>
    <w:rsid w:val="00CB7EB5"/>
    <w:rsid w:val="00CC1C7A"/>
    <w:rsid w:val="00D009EF"/>
    <w:rsid w:val="00D218A9"/>
    <w:rsid w:val="00D228F8"/>
    <w:rsid w:val="00D42397"/>
    <w:rsid w:val="00D6336B"/>
    <w:rsid w:val="00D7219F"/>
    <w:rsid w:val="00DF3741"/>
    <w:rsid w:val="00E37EEE"/>
    <w:rsid w:val="00E60028"/>
    <w:rsid w:val="00E75AC1"/>
    <w:rsid w:val="00E76E3F"/>
    <w:rsid w:val="00E9178D"/>
    <w:rsid w:val="00F03754"/>
    <w:rsid w:val="00F06572"/>
    <w:rsid w:val="00F20A89"/>
    <w:rsid w:val="00F22EB0"/>
    <w:rsid w:val="00F343C9"/>
    <w:rsid w:val="00F4565B"/>
    <w:rsid w:val="00F571A1"/>
    <w:rsid w:val="00F761F9"/>
    <w:rsid w:val="00FC2C04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7038"/>
  <w15:chartTrackingRefBased/>
  <w15:docId w15:val="{33E4A2BD-83DD-438D-AB7C-7F921CA4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F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F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6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03849" TargetMode="External"/><Relationship Id="rId5" Type="http://schemas.openxmlformats.org/officeDocument/2006/relationships/hyperlink" Target="mailto:ldc@ldc.gov.lv" TargetMode="External"/><Relationship Id="rId4" Type="http://schemas.openxmlformats.org/officeDocument/2006/relationships/hyperlink" Target="http://www.ld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9430</Words>
  <Characters>5376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Inese Doņuka</cp:lastModifiedBy>
  <cp:revision>15</cp:revision>
  <dcterms:created xsi:type="dcterms:W3CDTF">2022-08-30T09:24:00Z</dcterms:created>
  <dcterms:modified xsi:type="dcterms:W3CDTF">2022-09-16T12:48:00Z</dcterms:modified>
</cp:coreProperties>
</file>