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DA9B" w14:textId="77777777" w:rsidR="00B731F9" w:rsidRPr="00ED6278" w:rsidRDefault="00B731F9" w:rsidP="00B731F9">
      <w:pPr>
        <w:spacing w:after="0"/>
        <w:jc w:val="right"/>
        <w:rPr>
          <w:rFonts w:cs="Times New Roman"/>
          <w:bCs/>
        </w:rPr>
      </w:pPr>
      <w:r w:rsidRPr="00ED6278">
        <w:rPr>
          <w:rFonts w:cs="Times New Roman"/>
          <w:bCs/>
        </w:rPr>
        <w:t>3.pielikums</w:t>
      </w:r>
    </w:p>
    <w:p w14:paraId="12BC3A16" w14:textId="77777777" w:rsidR="00B731F9" w:rsidRPr="00ED6278" w:rsidRDefault="00B731F9" w:rsidP="00B731F9">
      <w:pPr>
        <w:spacing w:after="0"/>
        <w:jc w:val="right"/>
        <w:rPr>
          <w:rFonts w:cs="Times New Roman"/>
          <w:bCs/>
        </w:rPr>
      </w:pPr>
      <w:r w:rsidRPr="00ED6278">
        <w:rPr>
          <w:rFonts w:cs="Times New Roman"/>
          <w:bCs/>
        </w:rPr>
        <w:t>Ministru kabineta</w:t>
      </w:r>
    </w:p>
    <w:p w14:paraId="5A0D264C" w14:textId="77777777" w:rsidR="00B731F9" w:rsidRPr="00ED6278" w:rsidRDefault="00B731F9" w:rsidP="00B731F9">
      <w:pPr>
        <w:spacing w:after="0"/>
        <w:jc w:val="right"/>
        <w:rPr>
          <w:rFonts w:cs="Times New Roman"/>
          <w:bCs/>
        </w:rPr>
      </w:pPr>
      <w:r w:rsidRPr="00ED6278">
        <w:rPr>
          <w:rFonts w:cs="Times New Roman"/>
          <w:bCs/>
        </w:rPr>
        <w:t>2016.gada 12.aprīļa</w:t>
      </w:r>
    </w:p>
    <w:p w14:paraId="45831650" w14:textId="77777777" w:rsidR="00B731F9" w:rsidRPr="00ED6278" w:rsidRDefault="00B731F9" w:rsidP="00B731F9">
      <w:pPr>
        <w:ind w:left="6480"/>
        <w:jc w:val="right"/>
        <w:rPr>
          <w:rFonts w:cs="Times New Roman"/>
          <w:bCs/>
        </w:rPr>
      </w:pPr>
      <w:r w:rsidRPr="00ED6278">
        <w:rPr>
          <w:rFonts w:cs="Times New Roman"/>
          <w:bCs/>
        </w:rPr>
        <w:t>Noteikumiem Nr.225</w:t>
      </w:r>
    </w:p>
    <w:p w14:paraId="50FBD9B2" w14:textId="77777777" w:rsidR="00B731F9" w:rsidRPr="00ED6278" w:rsidRDefault="00B731F9" w:rsidP="00B731F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D6278">
        <w:rPr>
          <w:rFonts w:cs="Times New Roman"/>
          <w:bCs/>
          <w:sz w:val="28"/>
          <w:szCs w:val="28"/>
        </w:rPr>
        <w:t>Informācija par piemaksām, prēmijām, naudas balvām, sociālajām garantijām un to noteikšanas kritērijiem Lauksaimniecības datu centrā</w:t>
      </w:r>
      <w:r w:rsidRPr="00ED6278">
        <w:rPr>
          <w:rFonts w:cs="Times New Roman"/>
          <w:sz w:val="28"/>
          <w:szCs w:val="28"/>
        </w:rPr>
        <w:t xml:space="preserve"> </w:t>
      </w:r>
    </w:p>
    <w:p w14:paraId="68DB6B50" w14:textId="77777777" w:rsidR="00B731F9" w:rsidRPr="00ED6278" w:rsidRDefault="00B731F9" w:rsidP="00B731F9">
      <w:pPr>
        <w:spacing w:after="0" w:line="240" w:lineRule="auto"/>
        <w:jc w:val="center"/>
        <w:rPr>
          <w:rFonts w:cs="Times New Roman"/>
        </w:rPr>
      </w:pPr>
    </w:p>
    <w:p w14:paraId="44B0BA3F" w14:textId="77777777" w:rsidR="00B731F9" w:rsidRPr="00ED6278" w:rsidRDefault="00B731F9" w:rsidP="00B731F9">
      <w:pPr>
        <w:jc w:val="right"/>
        <w:rPr>
          <w:rFonts w:cs="Times New Roman"/>
        </w:rPr>
      </w:pPr>
      <w:r w:rsidRPr="00ED6278">
        <w:rPr>
          <w:rFonts w:cs="Times New Roman"/>
        </w:rPr>
        <w:t>1.tabula</w:t>
      </w:r>
    </w:p>
    <w:p w14:paraId="4AE5E917" w14:textId="77777777" w:rsidR="00B731F9" w:rsidRPr="00ED6278" w:rsidRDefault="00B731F9" w:rsidP="00B731F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D6278">
        <w:rPr>
          <w:rFonts w:cs="Times New Roman"/>
          <w:sz w:val="24"/>
          <w:szCs w:val="24"/>
        </w:rPr>
        <w:t>Informācija par piemaksām, prēmijām un naudas balvām</w:t>
      </w:r>
    </w:p>
    <w:tbl>
      <w:tblPr>
        <w:tblStyle w:val="TableGrid"/>
        <w:tblpPr w:leftFromText="180" w:rightFromText="180" w:vertAnchor="text" w:horzAnchor="margin" w:tblpY="934"/>
        <w:tblW w:w="10201" w:type="dxa"/>
        <w:tblLayout w:type="fixed"/>
        <w:tblLook w:val="04A0" w:firstRow="1" w:lastRow="0" w:firstColumn="1" w:lastColumn="0" w:noHBand="0" w:noVBand="1"/>
      </w:tblPr>
      <w:tblGrid>
        <w:gridCol w:w="823"/>
        <w:gridCol w:w="2858"/>
        <w:gridCol w:w="3544"/>
        <w:gridCol w:w="2976"/>
      </w:tblGrid>
      <w:tr w:rsidR="00B731F9" w:rsidRPr="00ED6278" w14:paraId="4923D88B" w14:textId="77777777" w:rsidTr="00DD29F0">
        <w:trPr>
          <w:trHeight w:val="699"/>
        </w:trPr>
        <w:tc>
          <w:tcPr>
            <w:tcW w:w="823" w:type="dxa"/>
          </w:tcPr>
          <w:p w14:paraId="712BE7E7" w14:textId="77777777" w:rsidR="00B731F9" w:rsidRPr="00ED6278" w:rsidRDefault="00B731F9" w:rsidP="00DD29F0">
            <w:pPr>
              <w:jc w:val="center"/>
            </w:pPr>
            <w:r w:rsidRPr="00ED6278">
              <w:t>Nr.p.k.</w:t>
            </w:r>
          </w:p>
        </w:tc>
        <w:tc>
          <w:tcPr>
            <w:tcW w:w="2858" w:type="dxa"/>
          </w:tcPr>
          <w:p w14:paraId="3C6C6CDF" w14:textId="77777777" w:rsidR="00B731F9" w:rsidRPr="00ED6278" w:rsidRDefault="00B731F9" w:rsidP="00DD29F0">
            <w:pPr>
              <w:jc w:val="center"/>
            </w:pPr>
            <w:r w:rsidRPr="00ED6278">
              <w:t>Piemaksas vai prēmijas veids, naudas balva</w:t>
            </w:r>
          </w:p>
        </w:tc>
        <w:tc>
          <w:tcPr>
            <w:tcW w:w="3544" w:type="dxa"/>
          </w:tcPr>
          <w:p w14:paraId="26998CD7" w14:textId="77777777" w:rsidR="00B731F9" w:rsidRPr="00ED6278" w:rsidRDefault="00B731F9" w:rsidP="00DD29F0">
            <w:pPr>
              <w:jc w:val="center"/>
            </w:pPr>
            <w:r w:rsidRPr="00ED6278">
              <w:t>Piemaksas, prēmijas vai naudas balvas apmērs (</w:t>
            </w:r>
            <w:r w:rsidRPr="00ED6278">
              <w:rPr>
                <w:i/>
              </w:rPr>
              <w:t>euro</w:t>
            </w:r>
            <w:r w:rsidRPr="00ED6278">
              <w:t xml:space="preserve"> vai %)</w:t>
            </w:r>
          </w:p>
        </w:tc>
        <w:tc>
          <w:tcPr>
            <w:tcW w:w="2976" w:type="dxa"/>
          </w:tcPr>
          <w:p w14:paraId="6BBCE82C" w14:textId="77777777" w:rsidR="00B731F9" w:rsidRPr="00ED6278" w:rsidRDefault="00B731F9" w:rsidP="00DD29F0">
            <w:pPr>
              <w:jc w:val="center"/>
            </w:pPr>
            <w:r w:rsidRPr="00ED6278">
              <w:t>Piešķiršanas pamatojums vai kritēriji</w:t>
            </w:r>
          </w:p>
        </w:tc>
      </w:tr>
      <w:tr w:rsidR="00B731F9" w:rsidRPr="00ED6278" w14:paraId="2AB8076F" w14:textId="77777777" w:rsidTr="00DD29F0">
        <w:trPr>
          <w:trHeight w:val="253"/>
        </w:trPr>
        <w:tc>
          <w:tcPr>
            <w:tcW w:w="823" w:type="dxa"/>
            <w:vAlign w:val="center"/>
          </w:tcPr>
          <w:p w14:paraId="7F37305F" w14:textId="77777777" w:rsidR="00B731F9" w:rsidRPr="00ED6278" w:rsidRDefault="00B731F9" w:rsidP="00DD29F0">
            <w:pPr>
              <w:jc w:val="center"/>
            </w:pPr>
            <w:r w:rsidRPr="00ED6278">
              <w:t>1</w:t>
            </w:r>
          </w:p>
        </w:tc>
        <w:tc>
          <w:tcPr>
            <w:tcW w:w="2858" w:type="dxa"/>
            <w:vAlign w:val="center"/>
          </w:tcPr>
          <w:p w14:paraId="0347B197" w14:textId="77777777" w:rsidR="00B731F9" w:rsidRPr="00ED6278" w:rsidRDefault="00B731F9" w:rsidP="00DD29F0">
            <w:pPr>
              <w:jc w:val="center"/>
            </w:pPr>
            <w:r w:rsidRPr="00ED6278">
              <w:t>2</w:t>
            </w:r>
          </w:p>
        </w:tc>
        <w:tc>
          <w:tcPr>
            <w:tcW w:w="3544" w:type="dxa"/>
            <w:vAlign w:val="center"/>
          </w:tcPr>
          <w:p w14:paraId="707491BE" w14:textId="77777777" w:rsidR="00B731F9" w:rsidRPr="00ED6278" w:rsidRDefault="00B731F9" w:rsidP="00DD29F0">
            <w:pPr>
              <w:jc w:val="center"/>
            </w:pPr>
            <w:r w:rsidRPr="00ED6278">
              <w:t>3</w:t>
            </w:r>
          </w:p>
        </w:tc>
        <w:tc>
          <w:tcPr>
            <w:tcW w:w="2976" w:type="dxa"/>
            <w:vAlign w:val="center"/>
          </w:tcPr>
          <w:p w14:paraId="43082674" w14:textId="77777777" w:rsidR="00B731F9" w:rsidRPr="00ED6278" w:rsidRDefault="00B731F9" w:rsidP="00DD29F0">
            <w:pPr>
              <w:jc w:val="center"/>
            </w:pPr>
            <w:r w:rsidRPr="00ED6278">
              <w:t>4</w:t>
            </w:r>
          </w:p>
        </w:tc>
      </w:tr>
      <w:tr w:rsidR="00B731F9" w:rsidRPr="00ED6278" w14:paraId="6A305043" w14:textId="77777777" w:rsidTr="00DD29F0">
        <w:trPr>
          <w:trHeight w:val="240"/>
        </w:trPr>
        <w:tc>
          <w:tcPr>
            <w:tcW w:w="823" w:type="dxa"/>
            <w:vAlign w:val="center"/>
          </w:tcPr>
          <w:p w14:paraId="7101F840" w14:textId="77777777" w:rsidR="00B731F9" w:rsidRPr="00ED6278" w:rsidRDefault="00B731F9" w:rsidP="00DD29F0">
            <w:pPr>
              <w:jc w:val="center"/>
            </w:pPr>
            <w:r w:rsidRPr="00ED6278">
              <w:t>1</w:t>
            </w:r>
          </w:p>
        </w:tc>
        <w:tc>
          <w:tcPr>
            <w:tcW w:w="2858" w:type="dxa"/>
            <w:vAlign w:val="center"/>
          </w:tcPr>
          <w:p w14:paraId="739DA1AA" w14:textId="77777777" w:rsidR="00B731F9" w:rsidRPr="00ED6278" w:rsidRDefault="00B731F9" w:rsidP="00DD29F0">
            <w:pPr>
              <w:jc w:val="center"/>
            </w:pPr>
            <w:r w:rsidRPr="00ED6278">
              <w:t>Piemaksa par prombūtnē esošas amatpersonas (darbinieka) amata (darba) pildīšanu</w:t>
            </w:r>
            <w:r w:rsidR="00E172D4">
              <w:t xml:space="preserve"> papildus tiešajiem pienākumiem</w:t>
            </w:r>
          </w:p>
        </w:tc>
        <w:tc>
          <w:tcPr>
            <w:tcW w:w="3544" w:type="dxa"/>
            <w:vAlign w:val="center"/>
          </w:tcPr>
          <w:p w14:paraId="014FDEB0" w14:textId="77777777" w:rsidR="00B731F9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01EB703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Līdz 30% no amatpersonas (darbinieka) mēnešalgas</w:t>
            </w:r>
          </w:p>
          <w:p w14:paraId="655FED51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C203224" w14:textId="77777777" w:rsidR="00B731F9" w:rsidRPr="00ED6278" w:rsidRDefault="00B731F9" w:rsidP="00E172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Valsts un pašvaldību institūciju amatpersonu un darbin</w:t>
            </w:r>
            <w:r w:rsidR="00E172D4">
              <w:rPr>
                <w:rFonts w:asciiTheme="minorHAnsi" w:hAnsiTheme="minorHAnsi"/>
                <w:sz w:val="22"/>
                <w:szCs w:val="22"/>
              </w:rPr>
              <w:t xml:space="preserve">ieku atlīdzības likuma 14.pants </w:t>
            </w:r>
          </w:p>
        </w:tc>
      </w:tr>
      <w:tr w:rsidR="00B731F9" w:rsidRPr="00ED6278" w14:paraId="2887AE7F" w14:textId="77777777" w:rsidTr="00DD29F0">
        <w:trPr>
          <w:trHeight w:val="253"/>
        </w:trPr>
        <w:tc>
          <w:tcPr>
            <w:tcW w:w="823" w:type="dxa"/>
            <w:vAlign w:val="center"/>
          </w:tcPr>
          <w:p w14:paraId="5A841B97" w14:textId="77777777" w:rsidR="00B731F9" w:rsidRPr="00ED6278" w:rsidRDefault="00E172D4" w:rsidP="00DD29F0">
            <w:pPr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14:paraId="1923565C" w14:textId="77777777" w:rsidR="00B731F9" w:rsidRPr="00ED6278" w:rsidRDefault="00B731F9" w:rsidP="00E172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Piemaksa par citu pienākumu pildīšanu</w:t>
            </w:r>
          </w:p>
        </w:tc>
        <w:tc>
          <w:tcPr>
            <w:tcW w:w="3544" w:type="dxa"/>
            <w:vAlign w:val="center"/>
          </w:tcPr>
          <w:p w14:paraId="7BB4CD7A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Līdz 30% no amatpersonas (darbinieka) mēnešalgas</w:t>
            </w:r>
          </w:p>
        </w:tc>
        <w:tc>
          <w:tcPr>
            <w:tcW w:w="2976" w:type="dxa"/>
            <w:vAlign w:val="center"/>
          </w:tcPr>
          <w:p w14:paraId="623BBB27" w14:textId="77777777" w:rsidR="00B731F9" w:rsidRPr="00ED6278" w:rsidRDefault="00B731F9" w:rsidP="00E172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Valsts un pašvaldību institūciju amatpersonu un darbi</w:t>
            </w:r>
            <w:r w:rsidR="00E172D4">
              <w:rPr>
                <w:rFonts w:asciiTheme="minorHAnsi" w:hAnsiTheme="minorHAnsi"/>
                <w:sz w:val="22"/>
                <w:szCs w:val="22"/>
              </w:rPr>
              <w:t>nieku atlīdzības likuma 14.pants</w:t>
            </w:r>
            <w:r w:rsidRPr="00ED62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172D4" w:rsidRPr="00ED6278" w14:paraId="44B5D0C7" w14:textId="77777777" w:rsidTr="00DD29F0">
        <w:trPr>
          <w:trHeight w:val="253"/>
        </w:trPr>
        <w:tc>
          <w:tcPr>
            <w:tcW w:w="823" w:type="dxa"/>
            <w:vAlign w:val="center"/>
          </w:tcPr>
          <w:p w14:paraId="783E041E" w14:textId="77777777" w:rsidR="00E172D4" w:rsidRPr="00ED6278" w:rsidRDefault="00E172D4" w:rsidP="00E172D4">
            <w:pPr>
              <w:jc w:val="center"/>
            </w:pPr>
            <w:r>
              <w:t>3</w:t>
            </w:r>
          </w:p>
        </w:tc>
        <w:tc>
          <w:tcPr>
            <w:tcW w:w="2858" w:type="dxa"/>
            <w:vAlign w:val="center"/>
          </w:tcPr>
          <w:p w14:paraId="7E30E5C3" w14:textId="77777777" w:rsidR="00E172D4" w:rsidRPr="00ED6278" w:rsidRDefault="00E172D4" w:rsidP="001D6ADA">
            <w:pPr>
              <w:jc w:val="center"/>
            </w:pPr>
            <w:r w:rsidRPr="00E172D4">
              <w:t xml:space="preserve">Piemaksa </w:t>
            </w:r>
            <w:r w:rsidRPr="00E172D4">
              <w:rPr>
                <w:rFonts w:cs="Arial"/>
              </w:rPr>
              <w:t xml:space="preserve"> par virsstundu darbu </w:t>
            </w:r>
            <w:r w:rsidR="00303F78">
              <w:rPr>
                <w:rFonts w:cs="Arial"/>
              </w:rPr>
              <w:t>vai darbu svētku dienā</w:t>
            </w:r>
          </w:p>
        </w:tc>
        <w:tc>
          <w:tcPr>
            <w:tcW w:w="3544" w:type="dxa"/>
            <w:vAlign w:val="center"/>
          </w:tcPr>
          <w:p w14:paraId="34EB5537" w14:textId="77777777" w:rsidR="00E172D4" w:rsidRPr="00ED6278" w:rsidRDefault="00303F78" w:rsidP="00334C12">
            <w:pPr>
              <w:jc w:val="center"/>
            </w:pPr>
            <w:r w:rsidRPr="00ED6278">
              <w:t>100% no amatpersonai (darbiniekam) noteiktās stundas algas likmes</w:t>
            </w:r>
            <w:r>
              <w:t xml:space="preserve"> </w:t>
            </w:r>
          </w:p>
        </w:tc>
        <w:tc>
          <w:tcPr>
            <w:tcW w:w="2976" w:type="dxa"/>
            <w:vAlign w:val="center"/>
          </w:tcPr>
          <w:p w14:paraId="4330DDB2" w14:textId="77777777" w:rsidR="00E172D4" w:rsidRPr="00ED6278" w:rsidRDefault="00E172D4" w:rsidP="00E172D4">
            <w:pPr>
              <w:jc w:val="center"/>
            </w:pPr>
            <w:r w:rsidRPr="00ED6278">
              <w:t>Valsts un pašvaldību institūciju amatpersonu un darbinieku atlīdzības likuma</w:t>
            </w:r>
            <w:r>
              <w:t> 14.pants</w:t>
            </w:r>
          </w:p>
        </w:tc>
      </w:tr>
      <w:tr w:rsidR="001D6ADA" w:rsidRPr="00ED6278" w14:paraId="17883CD8" w14:textId="77777777" w:rsidTr="00DD29F0">
        <w:trPr>
          <w:trHeight w:val="253"/>
        </w:trPr>
        <w:tc>
          <w:tcPr>
            <w:tcW w:w="823" w:type="dxa"/>
            <w:vAlign w:val="center"/>
          </w:tcPr>
          <w:p w14:paraId="0E173757" w14:textId="77777777" w:rsidR="001D6ADA" w:rsidRDefault="00334C12" w:rsidP="00E172D4">
            <w:pPr>
              <w:jc w:val="center"/>
            </w:pPr>
            <w:r>
              <w:t>4</w:t>
            </w:r>
          </w:p>
        </w:tc>
        <w:tc>
          <w:tcPr>
            <w:tcW w:w="2858" w:type="dxa"/>
            <w:vAlign w:val="center"/>
          </w:tcPr>
          <w:p w14:paraId="2BB2BE4D" w14:textId="77777777" w:rsidR="001D6ADA" w:rsidRPr="00E172D4" w:rsidRDefault="00334C12" w:rsidP="00334C12">
            <w:pPr>
              <w:jc w:val="center"/>
            </w:pPr>
            <w:r>
              <w:t>Kompensācija par</w:t>
            </w:r>
            <w:r w:rsidR="001D6ADA">
              <w:t xml:space="preserve"> darbu </w:t>
            </w:r>
            <w:r>
              <w:t>nedēļas atpūtas dienā</w:t>
            </w:r>
          </w:p>
        </w:tc>
        <w:tc>
          <w:tcPr>
            <w:tcW w:w="3544" w:type="dxa"/>
            <w:vAlign w:val="center"/>
          </w:tcPr>
          <w:p w14:paraId="033B6492" w14:textId="77777777" w:rsidR="001D6ADA" w:rsidRPr="00ED6278" w:rsidRDefault="00303F78" w:rsidP="00334C12">
            <w:pPr>
              <w:jc w:val="center"/>
            </w:pPr>
            <w:r w:rsidRPr="00ED6278">
              <w:t xml:space="preserve">amatpersonai (darbiniekam) </w:t>
            </w:r>
            <w:r w:rsidR="00334C12">
              <w:t>piešķir atpūtu citā nedēļas dienā</w:t>
            </w:r>
          </w:p>
        </w:tc>
        <w:tc>
          <w:tcPr>
            <w:tcW w:w="2976" w:type="dxa"/>
            <w:vAlign w:val="center"/>
          </w:tcPr>
          <w:p w14:paraId="188DEB4A" w14:textId="77777777" w:rsidR="001D6ADA" w:rsidRPr="00E172D4" w:rsidRDefault="001D6ADA" w:rsidP="00E172D4">
            <w:pPr>
              <w:jc w:val="center"/>
              <w:rPr>
                <w:highlight w:val="yellow"/>
              </w:rPr>
            </w:pPr>
            <w:r w:rsidRPr="00ED6278">
              <w:t>Valsts un pašvaldību institūciju amatpersonu un darbi</w:t>
            </w:r>
            <w:r>
              <w:t>nieku atlīdzības likuma 14.pants</w:t>
            </w:r>
          </w:p>
        </w:tc>
      </w:tr>
      <w:tr w:rsidR="00B731F9" w:rsidRPr="00ED6278" w14:paraId="181014A3" w14:textId="77777777" w:rsidTr="00DD29F0">
        <w:trPr>
          <w:trHeight w:val="240"/>
        </w:trPr>
        <w:tc>
          <w:tcPr>
            <w:tcW w:w="823" w:type="dxa"/>
            <w:vAlign w:val="center"/>
          </w:tcPr>
          <w:p w14:paraId="6092F578" w14:textId="77777777" w:rsidR="00B731F9" w:rsidRPr="00ED6278" w:rsidRDefault="00334C12" w:rsidP="00DD29F0">
            <w:pPr>
              <w:jc w:val="center"/>
            </w:pPr>
            <w:r>
              <w:t>5</w:t>
            </w:r>
          </w:p>
        </w:tc>
        <w:tc>
          <w:tcPr>
            <w:tcW w:w="2858" w:type="dxa"/>
            <w:vAlign w:val="center"/>
          </w:tcPr>
          <w:p w14:paraId="00DFF5FB" w14:textId="77777777" w:rsidR="00B731F9" w:rsidRPr="00ED6278" w:rsidRDefault="00B731F9" w:rsidP="001D6ADA">
            <w:pPr>
              <w:jc w:val="center"/>
            </w:pPr>
            <w:r w:rsidRPr="00ED6278">
              <w:rPr>
                <w:rFonts w:cs="Arial"/>
              </w:rPr>
              <w:t xml:space="preserve">Piemaksa par </w:t>
            </w:r>
            <w:r w:rsidR="001D6ADA">
              <w:rPr>
                <w:rFonts w:cs="Arial"/>
              </w:rPr>
              <w:t>nozīmīgu ieguldījumu</w:t>
            </w:r>
            <w:r w:rsidRPr="00ED6278">
              <w:rPr>
                <w:rFonts w:cs="Arial"/>
              </w:rPr>
              <w:t xml:space="preserve"> </w:t>
            </w:r>
            <w:r w:rsidR="001D6ADA">
              <w:rPr>
                <w:rFonts w:cs="Arial"/>
              </w:rPr>
              <w:t>institūcijas stratēģisko mērķu sasniegšanā</w:t>
            </w:r>
          </w:p>
        </w:tc>
        <w:tc>
          <w:tcPr>
            <w:tcW w:w="3544" w:type="dxa"/>
            <w:vAlign w:val="center"/>
          </w:tcPr>
          <w:p w14:paraId="2AEC5B8D" w14:textId="77777777" w:rsidR="00B731F9" w:rsidRPr="00ED6278" w:rsidRDefault="00B731F9" w:rsidP="00DD29F0">
            <w:pPr>
              <w:jc w:val="center"/>
            </w:pPr>
            <w:r w:rsidRPr="00ED6278">
              <w:t>L</w:t>
            </w:r>
            <w:r w:rsidR="001D6ADA">
              <w:t>īdz 3</w:t>
            </w:r>
            <w:r w:rsidRPr="00ED6278">
              <w:t>0%  no amatpersonas (darbinieka) mēnešalgas</w:t>
            </w:r>
          </w:p>
        </w:tc>
        <w:tc>
          <w:tcPr>
            <w:tcW w:w="2976" w:type="dxa"/>
            <w:vAlign w:val="center"/>
          </w:tcPr>
          <w:p w14:paraId="488100FF" w14:textId="77777777" w:rsidR="00B731F9" w:rsidRPr="00ED6278" w:rsidRDefault="00B731F9" w:rsidP="001D6ADA">
            <w:pPr>
              <w:jc w:val="center"/>
            </w:pPr>
            <w:r w:rsidRPr="00ED6278">
              <w:t xml:space="preserve">Valsts un pašvaldību institūciju amatpersonu un darbinieku atlīdzības </w:t>
            </w:r>
            <w:r>
              <w:t>likuma 14.pants</w:t>
            </w:r>
          </w:p>
        </w:tc>
      </w:tr>
      <w:tr w:rsidR="00B731F9" w:rsidRPr="00ED6278" w14:paraId="4C21B964" w14:textId="77777777" w:rsidTr="00DD29F0">
        <w:trPr>
          <w:trHeight w:val="240"/>
        </w:trPr>
        <w:tc>
          <w:tcPr>
            <w:tcW w:w="823" w:type="dxa"/>
            <w:vAlign w:val="center"/>
          </w:tcPr>
          <w:p w14:paraId="3BF472DA" w14:textId="77777777" w:rsidR="00B731F9" w:rsidRPr="00ED6278" w:rsidRDefault="00334C12" w:rsidP="00DD29F0">
            <w:pPr>
              <w:jc w:val="center"/>
            </w:pPr>
            <w:r>
              <w:t>6</w:t>
            </w:r>
          </w:p>
        </w:tc>
        <w:tc>
          <w:tcPr>
            <w:tcW w:w="2858" w:type="dxa"/>
            <w:vAlign w:val="center"/>
          </w:tcPr>
          <w:p w14:paraId="2BE6F388" w14:textId="77777777" w:rsidR="00B731F9" w:rsidRPr="00E80961" w:rsidRDefault="00B731F9" w:rsidP="00DD29F0">
            <w:pPr>
              <w:jc w:val="center"/>
              <w:rPr>
                <w:b/>
              </w:rPr>
            </w:pPr>
            <w:r w:rsidRPr="00E80961">
              <w:rPr>
                <w:rStyle w:val="Strong"/>
                <w:b w:val="0"/>
              </w:rPr>
              <w:t>Prēmija</w:t>
            </w:r>
          </w:p>
        </w:tc>
        <w:tc>
          <w:tcPr>
            <w:tcW w:w="3544" w:type="dxa"/>
            <w:vAlign w:val="center"/>
          </w:tcPr>
          <w:p w14:paraId="5619762E" w14:textId="77777777" w:rsidR="00B731F9" w:rsidRPr="00ED6278" w:rsidRDefault="00B731F9" w:rsidP="00DD29F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 xml:space="preserve">Līdz 75 % 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amatpersonas (darbinieka) </w:t>
            </w:r>
            <w:r w:rsidRPr="00ED6278">
              <w:rPr>
                <w:rFonts w:asciiTheme="minorHAnsi" w:hAnsiTheme="minorHAnsi"/>
                <w:sz w:val="22"/>
                <w:szCs w:val="22"/>
              </w:rPr>
              <w:t>mēnešalgas, ja darba izpildes novērtējums ir "teicami";</w:t>
            </w:r>
          </w:p>
          <w:p w14:paraId="29D7B162" w14:textId="77777777" w:rsidR="00B731F9" w:rsidRPr="00ED6278" w:rsidRDefault="00B731F9" w:rsidP="00DD29F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 xml:space="preserve">Līdz 65% 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amatpersonas (darbinieka) </w:t>
            </w:r>
            <w:r w:rsidRPr="00ED6278">
              <w:rPr>
                <w:rFonts w:asciiTheme="minorHAnsi" w:hAnsiTheme="minorHAnsi"/>
                <w:sz w:val="22"/>
                <w:szCs w:val="22"/>
              </w:rPr>
              <w:t>mēnešalgas, ja novērtējums ir "ļoti labi";</w:t>
            </w:r>
          </w:p>
          <w:p w14:paraId="52BCBAF1" w14:textId="77777777" w:rsidR="00B731F9" w:rsidRPr="00ED6278" w:rsidRDefault="00B731F9" w:rsidP="00DD29F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 xml:space="preserve">Līdz 55 % 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amatpersonas (darbinieka) </w:t>
            </w:r>
            <w:r w:rsidRPr="00ED6278">
              <w:rPr>
                <w:rFonts w:asciiTheme="minorHAnsi" w:hAnsiTheme="minorHAnsi"/>
                <w:sz w:val="22"/>
                <w:szCs w:val="22"/>
              </w:rPr>
              <w:t>mēnešalgas, ja novērtējums ir "labi"</w:t>
            </w:r>
          </w:p>
        </w:tc>
        <w:tc>
          <w:tcPr>
            <w:tcW w:w="2976" w:type="dxa"/>
            <w:vAlign w:val="center"/>
          </w:tcPr>
          <w:p w14:paraId="2D5C8E30" w14:textId="77777777" w:rsidR="00B731F9" w:rsidRPr="00ED6278" w:rsidRDefault="00B731F9" w:rsidP="00DD29F0">
            <w:pPr>
              <w:jc w:val="center"/>
            </w:pPr>
            <w:r w:rsidRPr="00ED6278">
              <w:t xml:space="preserve">Valsts un pašvaldību institūciju amatpersonu un darbinieku </w:t>
            </w:r>
            <w:r w:rsidRPr="00334C12">
              <w:t xml:space="preserve">atlīdzības likuma 16.pants;  </w:t>
            </w:r>
            <w:r w:rsidR="00334C12" w:rsidRPr="00334C12">
              <w:t>21.06.2022.</w:t>
            </w:r>
            <w:r w:rsidRPr="00334C12">
              <w:t xml:space="preserve"> MK noteikumu  Nr.</w:t>
            </w:r>
            <w:r w:rsidR="00334C12" w:rsidRPr="00334C12">
              <w:t>361</w:t>
            </w:r>
            <w:r w:rsidRPr="00334C12">
              <w:t xml:space="preserve"> “</w:t>
            </w:r>
            <w:r w:rsidR="00334C12" w:rsidRPr="00334C12">
              <w:t>Noteikumi par valsts institūciju amatpersonu un darbinieku darba samaksu un tās noteikšanas kārtību, kā arī par profesijām un specifiskajām jomām, kurām piemērojams tirgus koef</w:t>
            </w:r>
            <w:r w:rsidR="00334C12">
              <w:t>i</w:t>
            </w:r>
            <w:r w:rsidR="00334C12" w:rsidRPr="00334C12">
              <w:t>cients” 2</w:t>
            </w:r>
            <w:r w:rsidRPr="00334C12">
              <w:t>5.punkts;</w:t>
            </w:r>
          </w:p>
          <w:p w14:paraId="52C78AB9" w14:textId="77777777" w:rsidR="00B731F9" w:rsidRPr="00ED6278" w:rsidRDefault="00B731F9" w:rsidP="00DD29F0">
            <w:pPr>
              <w:jc w:val="center"/>
            </w:pPr>
            <w:r w:rsidRPr="00ED6278">
              <w:rPr>
                <w:rFonts w:cs="Arial"/>
              </w:rPr>
              <w:t>Saskaņā ar Lauksaimniecības datu centra noteikto kārtību</w:t>
            </w:r>
          </w:p>
        </w:tc>
      </w:tr>
      <w:tr w:rsidR="00B731F9" w:rsidRPr="00ED6278" w14:paraId="1AD889B1" w14:textId="77777777" w:rsidTr="00DD29F0">
        <w:trPr>
          <w:trHeight w:val="240"/>
        </w:trPr>
        <w:tc>
          <w:tcPr>
            <w:tcW w:w="823" w:type="dxa"/>
            <w:vAlign w:val="center"/>
          </w:tcPr>
          <w:p w14:paraId="44D21788" w14:textId="77777777" w:rsidR="00B731F9" w:rsidRPr="00ED6278" w:rsidRDefault="00B731F9" w:rsidP="00DD29F0">
            <w:pPr>
              <w:jc w:val="center"/>
            </w:pPr>
            <w:r w:rsidRPr="00ED6278">
              <w:t>6</w:t>
            </w:r>
          </w:p>
        </w:tc>
        <w:tc>
          <w:tcPr>
            <w:tcW w:w="2858" w:type="dxa"/>
            <w:vAlign w:val="center"/>
          </w:tcPr>
          <w:p w14:paraId="4ADD8CF4" w14:textId="77777777" w:rsidR="00B731F9" w:rsidRPr="00E80961" w:rsidRDefault="00B731F9" w:rsidP="00DD29F0">
            <w:pPr>
              <w:jc w:val="center"/>
              <w:rPr>
                <w:b/>
              </w:rPr>
            </w:pPr>
            <w:r w:rsidRPr="00E80961">
              <w:rPr>
                <w:rStyle w:val="Strong"/>
                <w:b w:val="0"/>
              </w:rPr>
              <w:t>Naudas balva</w:t>
            </w:r>
          </w:p>
        </w:tc>
        <w:tc>
          <w:tcPr>
            <w:tcW w:w="3544" w:type="dxa"/>
            <w:vAlign w:val="center"/>
          </w:tcPr>
          <w:p w14:paraId="30755099" w14:textId="77777777" w:rsidR="00B731F9" w:rsidRPr="00ED6278" w:rsidRDefault="00B731F9" w:rsidP="00DD29F0">
            <w:pPr>
              <w:jc w:val="center"/>
            </w:pPr>
            <w:r w:rsidRPr="00ED6278">
              <w:t xml:space="preserve">Līdz </w:t>
            </w:r>
            <w:r>
              <w:t>amatpersonas (darbinieka</w:t>
            </w:r>
            <w:r w:rsidRPr="00ED6278">
              <w:t>) vienas mēnešalgas apmēram kalendārā gada ietvaros</w:t>
            </w:r>
          </w:p>
        </w:tc>
        <w:tc>
          <w:tcPr>
            <w:tcW w:w="2976" w:type="dxa"/>
            <w:vAlign w:val="center"/>
          </w:tcPr>
          <w:p w14:paraId="1FA1BCE6" w14:textId="77777777" w:rsidR="00B731F9" w:rsidRPr="00ED6278" w:rsidRDefault="00B731F9" w:rsidP="00DD29F0">
            <w:pPr>
              <w:jc w:val="center"/>
            </w:pPr>
            <w:r w:rsidRPr="00ED6278">
              <w:t xml:space="preserve">Valsts un pašvaldību institūciju amatpersonu un darbinieku atlīdzības likuma  3.pants; Saskaņā </w:t>
            </w:r>
            <w:r w:rsidRPr="00ED6278">
              <w:rPr>
                <w:rFonts w:cs="Arial"/>
              </w:rPr>
              <w:t xml:space="preserve"> ar Lauksaimniecības datu centra noteikto kārtību</w:t>
            </w:r>
          </w:p>
        </w:tc>
      </w:tr>
    </w:tbl>
    <w:p w14:paraId="0026FF61" w14:textId="77777777" w:rsidR="00B731F9" w:rsidRPr="00ED6278" w:rsidRDefault="00B731F9" w:rsidP="00B731F9"/>
    <w:p w14:paraId="731FE8ED" w14:textId="77777777" w:rsidR="00B731F9" w:rsidRPr="00ED6278" w:rsidRDefault="00B731F9" w:rsidP="00B731F9">
      <w:pPr>
        <w:jc w:val="right"/>
      </w:pPr>
      <w:r w:rsidRPr="00ED6278">
        <w:t>2.tabula</w:t>
      </w:r>
    </w:p>
    <w:p w14:paraId="2A37D140" w14:textId="77777777" w:rsidR="00B731F9" w:rsidRPr="00ED6278" w:rsidRDefault="00B731F9" w:rsidP="00B731F9">
      <w:pPr>
        <w:spacing w:after="0" w:line="240" w:lineRule="auto"/>
        <w:contextualSpacing/>
        <w:jc w:val="center"/>
        <w:rPr>
          <w:sz w:val="24"/>
          <w:szCs w:val="24"/>
        </w:rPr>
      </w:pPr>
      <w:r w:rsidRPr="00ED6278">
        <w:rPr>
          <w:sz w:val="24"/>
          <w:szCs w:val="24"/>
        </w:rPr>
        <w:lastRenderedPageBreak/>
        <w:t>Informācija par sociālajām garantijām</w:t>
      </w:r>
    </w:p>
    <w:p w14:paraId="3A633D92" w14:textId="77777777" w:rsidR="00B731F9" w:rsidRPr="00ED6278" w:rsidRDefault="00B731F9" w:rsidP="00B731F9">
      <w:pPr>
        <w:spacing w:after="0" w:line="240" w:lineRule="auto"/>
        <w:contextualSpacing/>
        <w:jc w:val="center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2976"/>
      </w:tblGrid>
      <w:tr w:rsidR="00B731F9" w:rsidRPr="00ED6278" w14:paraId="71B786E6" w14:textId="77777777" w:rsidTr="00DD29F0">
        <w:tc>
          <w:tcPr>
            <w:tcW w:w="846" w:type="dxa"/>
          </w:tcPr>
          <w:p w14:paraId="0C3DE229" w14:textId="77777777" w:rsidR="00B731F9" w:rsidRPr="00ED6278" w:rsidRDefault="00B731F9" w:rsidP="00DD29F0">
            <w:pPr>
              <w:jc w:val="center"/>
            </w:pPr>
            <w:r w:rsidRPr="00ED6278">
              <w:t>Nr.p.k.</w:t>
            </w:r>
          </w:p>
        </w:tc>
        <w:tc>
          <w:tcPr>
            <w:tcW w:w="2835" w:type="dxa"/>
          </w:tcPr>
          <w:p w14:paraId="3D19E363" w14:textId="77777777" w:rsidR="00B731F9" w:rsidRPr="00ED6278" w:rsidRDefault="00B731F9" w:rsidP="00DD29F0">
            <w:pPr>
              <w:jc w:val="center"/>
            </w:pPr>
            <w:r w:rsidRPr="00ED6278">
              <w:t>Sociālās garantijas veids</w:t>
            </w:r>
          </w:p>
        </w:tc>
        <w:tc>
          <w:tcPr>
            <w:tcW w:w="3544" w:type="dxa"/>
          </w:tcPr>
          <w:p w14:paraId="2535120D" w14:textId="77777777" w:rsidR="00B731F9" w:rsidRPr="00ED6278" w:rsidRDefault="00B731F9" w:rsidP="00DD29F0">
            <w:pPr>
              <w:jc w:val="center"/>
            </w:pPr>
            <w:r w:rsidRPr="00ED6278">
              <w:t>Sociālās garantijas apmērs (</w:t>
            </w:r>
            <w:r w:rsidRPr="00ED6278">
              <w:rPr>
                <w:i/>
              </w:rPr>
              <w:t>euro</w:t>
            </w:r>
            <w:r w:rsidRPr="00ED6278">
              <w:t xml:space="preserve"> vai %)</w:t>
            </w:r>
          </w:p>
        </w:tc>
        <w:tc>
          <w:tcPr>
            <w:tcW w:w="2976" w:type="dxa"/>
          </w:tcPr>
          <w:p w14:paraId="00024256" w14:textId="77777777" w:rsidR="00B731F9" w:rsidRPr="00ED6278" w:rsidRDefault="00B731F9" w:rsidP="00DD29F0">
            <w:pPr>
              <w:jc w:val="center"/>
            </w:pPr>
            <w:r w:rsidRPr="00ED6278">
              <w:t>Piešķiršanas pamatojums vai kritēriji</w:t>
            </w:r>
          </w:p>
        </w:tc>
      </w:tr>
      <w:tr w:rsidR="00B731F9" w:rsidRPr="00ED6278" w14:paraId="5D75C81D" w14:textId="77777777" w:rsidTr="00DD29F0">
        <w:tc>
          <w:tcPr>
            <w:tcW w:w="846" w:type="dxa"/>
          </w:tcPr>
          <w:p w14:paraId="28BF2576" w14:textId="77777777" w:rsidR="00B731F9" w:rsidRPr="00ED6278" w:rsidRDefault="00B731F9" w:rsidP="00DD29F0">
            <w:pPr>
              <w:jc w:val="center"/>
            </w:pPr>
            <w:r w:rsidRPr="00ED6278">
              <w:t>1</w:t>
            </w:r>
          </w:p>
        </w:tc>
        <w:tc>
          <w:tcPr>
            <w:tcW w:w="2835" w:type="dxa"/>
          </w:tcPr>
          <w:p w14:paraId="480CE387" w14:textId="77777777" w:rsidR="00B731F9" w:rsidRPr="00ED6278" w:rsidRDefault="00B731F9" w:rsidP="00DD29F0">
            <w:pPr>
              <w:jc w:val="center"/>
            </w:pPr>
            <w:r w:rsidRPr="00ED6278">
              <w:t>2</w:t>
            </w:r>
          </w:p>
        </w:tc>
        <w:tc>
          <w:tcPr>
            <w:tcW w:w="3544" w:type="dxa"/>
          </w:tcPr>
          <w:p w14:paraId="31818CB5" w14:textId="77777777" w:rsidR="00B731F9" w:rsidRPr="00ED6278" w:rsidRDefault="00B731F9" w:rsidP="00DD29F0">
            <w:pPr>
              <w:jc w:val="center"/>
            </w:pPr>
            <w:r w:rsidRPr="00ED6278">
              <w:t>3</w:t>
            </w:r>
          </w:p>
        </w:tc>
        <w:tc>
          <w:tcPr>
            <w:tcW w:w="2976" w:type="dxa"/>
          </w:tcPr>
          <w:p w14:paraId="51FFCD5A" w14:textId="77777777" w:rsidR="00B731F9" w:rsidRPr="00ED6278" w:rsidRDefault="00B731F9" w:rsidP="00DD29F0">
            <w:pPr>
              <w:jc w:val="center"/>
            </w:pPr>
            <w:r w:rsidRPr="00ED6278">
              <w:t>4</w:t>
            </w:r>
          </w:p>
        </w:tc>
      </w:tr>
      <w:tr w:rsidR="00B731F9" w:rsidRPr="00ED6278" w14:paraId="4067D319" w14:textId="77777777" w:rsidTr="00DD29F0">
        <w:tc>
          <w:tcPr>
            <w:tcW w:w="846" w:type="dxa"/>
            <w:vAlign w:val="center"/>
          </w:tcPr>
          <w:p w14:paraId="0A8AF940" w14:textId="77777777" w:rsidR="00B731F9" w:rsidRPr="00ED6278" w:rsidRDefault="00B731F9" w:rsidP="00DD29F0">
            <w:pPr>
              <w:jc w:val="center"/>
            </w:pPr>
            <w:r w:rsidRPr="00ED6278">
              <w:t>1</w:t>
            </w:r>
          </w:p>
        </w:tc>
        <w:tc>
          <w:tcPr>
            <w:tcW w:w="2835" w:type="dxa"/>
            <w:vAlign w:val="center"/>
          </w:tcPr>
          <w:p w14:paraId="1088B145" w14:textId="77777777" w:rsidR="00B731F9" w:rsidRPr="00ED6278" w:rsidRDefault="00B731F9" w:rsidP="00DD29F0">
            <w:pPr>
              <w:jc w:val="center"/>
              <w:rPr>
                <w:rFonts w:cs="Arial"/>
              </w:rPr>
            </w:pPr>
            <w:r w:rsidRPr="00ED6278">
              <w:rPr>
                <w:rFonts w:cs="Arial"/>
              </w:rPr>
              <w:t>Pabalsts, aizejot ikgadējā apmaksātajā atvaļinājumā</w:t>
            </w:r>
          </w:p>
        </w:tc>
        <w:tc>
          <w:tcPr>
            <w:tcW w:w="3544" w:type="dxa"/>
            <w:vAlign w:val="center"/>
          </w:tcPr>
          <w:p w14:paraId="67054D33" w14:textId="77777777" w:rsidR="00B731F9" w:rsidRPr="00ED6278" w:rsidRDefault="00B731F9" w:rsidP="00DD29F0">
            <w:pPr>
              <w:jc w:val="center"/>
            </w:pPr>
            <w:r w:rsidRPr="00ED6278">
              <w:t xml:space="preserve">Līdz 50% apmērā no </w:t>
            </w:r>
            <w:r>
              <w:t>amatpersonas (darbinieka</w:t>
            </w:r>
            <w:r w:rsidRPr="00ED6278">
              <w:t>)</w:t>
            </w:r>
            <w:r>
              <w:t xml:space="preserve"> </w:t>
            </w:r>
            <w:r w:rsidRPr="00ED6278">
              <w:t xml:space="preserve">mēnešalgas </w:t>
            </w:r>
            <w:r w:rsidR="00CE3480">
              <w:t>vienu reizi kalendārā gada laikā</w:t>
            </w:r>
          </w:p>
        </w:tc>
        <w:tc>
          <w:tcPr>
            <w:tcW w:w="2976" w:type="dxa"/>
          </w:tcPr>
          <w:p w14:paraId="516F9304" w14:textId="77777777" w:rsidR="00B731F9" w:rsidRPr="00ED6278" w:rsidRDefault="00B731F9" w:rsidP="00DD29F0">
            <w:pPr>
              <w:jc w:val="center"/>
            </w:pPr>
            <w:r w:rsidRPr="00ED6278">
              <w:t>Valsts un pašvaldību institūciju amatpersonu un darbin</w:t>
            </w:r>
            <w:r>
              <w:t>ieku atlīdzības likuma  3.pants</w:t>
            </w:r>
            <w:r w:rsidRPr="00ED6278">
              <w:t xml:space="preserve">;  </w:t>
            </w:r>
            <w:r>
              <w:t>S</w:t>
            </w:r>
            <w:r w:rsidRPr="00ED6278">
              <w:t xml:space="preserve">askaņā ar Lauksaimniecības </w:t>
            </w:r>
            <w:r>
              <w:t xml:space="preserve">datu centra noteikto kārtību </w:t>
            </w:r>
          </w:p>
        </w:tc>
      </w:tr>
      <w:tr w:rsidR="00B731F9" w:rsidRPr="00ED6278" w14:paraId="5C861AB0" w14:textId="77777777" w:rsidTr="00DD29F0">
        <w:tc>
          <w:tcPr>
            <w:tcW w:w="846" w:type="dxa"/>
            <w:vAlign w:val="center"/>
          </w:tcPr>
          <w:p w14:paraId="6A1A4D55" w14:textId="77777777" w:rsidR="00B731F9" w:rsidRPr="00ED6278" w:rsidRDefault="00B731F9" w:rsidP="00DD29F0">
            <w:pPr>
              <w:jc w:val="center"/>
            </w:pPr>
            <w:r w:rsidRPr="00ED6278">
              <w:t>2</w:t>
            </w:r>
          </w:p>
        </w:tc>
        <w:tc>
          <w:tcPr>
            <w:tcW w:w="2835" w:type="dxa"/>
            <w:vAlign w:val="center"/>
          </w:tcPr>
          <w:p w14:paraId="0E159B43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Pabalsts sakarā ar ģimenes locekļa vai apgādājamā nāvi</w:t>
            </w:r>
          </w:p>
          <w:p w14:paraId="6DF20399" w14:textId="77777777" w:rsidR="00B731F9" w:rsidRPr="00ED6278" w:rsidRDefault="00B731F9" w:rsidP="00DD29F0">
            <w:pPr>
              <w:jc w:val="center"/>
            </w:pPr>
          </w:p>
        </w:tc>
        <w:tc>
          <w:tcPr>
            <w:tcW w:w="3544" w:type="dxa"/>
            <w:vAlign w:val="center"/>
          </w:tcPr>
          <w:p w14:paraId="7880EF80" w14:textId="77777777" w:rsidR="00B731F9" w:rsidRPr="00ED6278" w:rsidRDefault="00B731F9" w:rsidP="00DD29F0">
            <w:pPr>
              <w:jc w:val="center"/>
            </w:pPr>
            <w:r w:rsidRPr="00ED6278">
              <w:t>vienas minimālās mēnešalgas apmērā</w:t>
            </w:r>
          </w:p>
        </w:tc>
        <w:tc>
          <w:tcPr>
            <w:tcW w:w="2976" w:type="dxa"/>
            <w:vAlign w:val="center"/>
          </w:tcPr>
          <w:p w14:paraId="05710980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 xml:space="preserve">Valsts un pašvaldību institūciju amatpersonu un darbinieku </w:t>
            </w:r>
            <w:r w:rsidRPr="00CE3480">
              <w:rPr>
                <w:rFonts w:asciiTheme="minorHAnsi" w:hAnsiTheme="minorHAnsi"/>
                <w:sz w:val="22"/>
                <w:szCs w:val="22"/>
              </w:rPr>
              <w:t>atlīdzības likuma 20.pants, 21.06.2010. MK noteikumu Nr.565 “ Noteikumi par valsts un pašvaldību institūciju amatpersonu un darbinieku sociālajām garantijām” 36.punkts,</w:t>
            </w:r>
            <w:r w:rsidRPr="00ED6278">
              <w:rPr>
                <w:rFonts w:asciiTheme="minorHAnsi" w:hAnsiTheme="minorHAnsi"/>
                <w:sz w:val="22"/>
                <w:szCs w:val="22"/>
              </w:rPr>
              <w:t xml:space="preserve"> 24.11.2015. </w:t>
            </w:r>
            <w:r>
              <w:rPr>
                <w:rFonts w:asciiTheme="minorHAnsi" w:hAnsiTheme="minorHAnsi"/>
                <w:sz w:val="22"/>
                <w:szCs w:val="22"/>
              </w:rPr>
              <w:t>MK</w:t>
            </w:r>
            <w:r w:rsidRPr="00ED6278">
              <w:rPr>
                <w:rFonts w:asciiTheme="minorHAnsi" w:hAnsiTheme="minorHAnsi"/>
                <w:sz w:val="22"/>
                <w:szCs w:val="22"/>
              </w:rPr>
              <w:t xml:space="preserve"> noteikumu Nr.656 ”Noteikumi par minimālās mēneša darba algas apmēru normālā darba laika ietvaros un minimālās stundas tarifa likmes aprēķināšanu” 2.punkts</w:t>
            </w:r>
          </w:p>
        </w:tc>
      </w:tr>
      <w:tr w:rsidR="00B731F9" w:rsidRPr="00ED6278" w14:paraId="2096C5CC" w14:textId="77777777" w:rsidTr="00DD29F0">
        <w:tc>
          <w:tcPr>
            <w:tcW w:w="846" w:type="dxa"/>
            <w:vAlign w:val="center"/>
          </w:tcPr>
          <w:p w14:paraId="1FBAABB4" w14:textId="77777777" w:rsidR="00B731F9" w:rsidRPr="00ED6278" w:rsidRDefault="00B731F9" w:rsidP="00DD29F0">
            <w:pPr>
              <w:jc w:val="center"/>
            </w:pPr>
            <w:r w:rsidRPr="00ED6278">
              <w:t>3</w:t>
            </w:r>
          </w:p>
        </w:tc>
        <w:tc>
          <w:tcPr>
            <w:tcW w:w="2835" w:type="dxa"/>
            <w:vAlign w:val="center"/>
          </w:tcPr>
          <w:p w14:paraId="5759E318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Pabalsts sakarā ar amatpersonas (darbinieka) nāvi</w:t>
            </w:r>
          </w:p>
        </w:tc>
        <w:tc>
          <w:tcPr>
            <w:tcW w:w="3544" w:type="dxa"/>
            <w:vAlign w:val="center"/>
          </w:tcPr>
          <w:p w14:paraId="2E69ED3B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vienreizējs pabalsts amatpersonai (darbiniekam) noteiktās mēnešalgas apmērā</w:t>
            </w:r>
          </w:p>
        </w:tc>
        <w:tc>
          <w:tcPr>
            <w:tcW w:w="2976" w:type="dxa"/>
            <w:vAlign w:val="center"/>
          </w:tcPr>
          <w:p w14:paraId="30BEBE49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 xml:space="preserve">Valsts un pašvaldību institūciju amatpersonu un darbinieku atlīdzības likuma </w:t>
            </w:r>
            <w:r>
              <w:rPr>
                <w:rFonts w:asciiTheme="minorHAnsi" w:hAnsiTheme="minorHAnsi"/>
                <w:sz w:val="22"/>
                <w:szCs w:val="22"/>
              </w:rPr>
              <w:t>19.pants</w:t>
            </w:r>
          </w:p>
        </w:tc>
      </w:tr>
      <w:tr w:rsidR="00B731F9" w:rsidRPr="00ED6278" w14:paraId="6433905E" w14:textId="77777777" w:rsidTr="00DD29F0">
        <w:tc>
          <w:tcPr>
            <w:tcW w:w="846" w:type="dxa"/>
            <w:vAlign w:val="center"/>
          </w:tcPr>
          <w:p w14:paraId="532EDD54" w14:textId="77777777" w:rsidR="00B731F9" w:rsidRPr="00ED6278" w:rsidRDefault="00B731F9" w:rsidP="00DD29F0">
            <w:pPr>
              <w:jc w:val="center"/>
            </w:pPr>
            <w:r w:rsidRPr="00ED6278">
              <w:t>4</w:t>
            </w:r>
          </w:p>
        </w:tc>
        <w:tc>
          <w:tcPr>
            <w:tcW w:w="2835" w:type="dxa"/>
            <w:vAlign w:val="center"/>
          </w:tcPr>
          <w:p w14:paraId="47EDBE86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Mācību izdevumi</w:t>
            </w:r>
          </w:p>
        </w:tc>
        <w:tc>
          <w:tcPr>
            <w:tcW w:w="3544" w:type="dxa"/>
            <w:vAlign w:val="center"/>
          </w:tcPr>
          <w:p w14:paraId="06B300D0" w14:textId="4AF250EF" w:rsidR="00B731F9" w:rsidRPr="00ED6278" w:rsidRDefault="00F9689F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Pieejamo finanšu līdzekļu ietvaros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14:paraId="1C32CEC8" w14:textId="77777777" w:rsidR="00B731F9" w:rsidRPr="00ED6278" w:rsidRDefault="00B731F9" w:rsidP="00DD29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6278">
              <w:rPr>
                <w:rFonts w:asciiTheme="minorHAnsi" w:hAnsiTheme="minorHAnsi"/>
                <w:sz w:val="22"/>
                <w:szCs w:val="22"/>
              </w:rPr>
              <w:t>Valsts un pašvaldību institūciju amatpersonu un darbinieku atlīdzības likuma 26.pants; 21.06.2010 MK noteikumi Nr. 565 "Noteikumi par valsts un pašvaldību institūciju amatpersonu un darbinieku sociālajām garantijām"; Saskaņā ar Lauksaimniecības datu centra noteikto kārtību</w:t>
            </w:r>
          </w:p>
        </w:tc>
      </w:tr>
      <w:tr w:rsidR="00B731F9" w:rsidRPr="00ED6278" w14:paraId="459E0EB4" w14:textId="77777777" w:rsidTr="00DD29F0">
        <w:tc>
          <w:tcPr>
            <w:tcW w:w="846" w:type="dxa"/>
            <w:vAlign w:val="center"/>
          </w:tcPr>
          <w:p w14:paraId="29364B74" w14:textId="77777777" w:rsidR="00B731F9" w:rsidRPr="00ED6278" w:rsidRDefault="00B731F9" w:rsidP="00DD29F0">
            <w:pPr>
              <w:jc w:val="center"/>
            </w:pPr>
            <w:r w:rsidRPr="00ED6278">
              <w:t>5</w:t>
            </w:r>
          </w:p>
        </w:tc>
        <w:tc>
          <w:tcPr>
            <w:tcW w:w="2835" w:type="dxa"/>
            <w:vAlign w:val="center"/>
          </w:tcPr>
          <w:p w14:paraId="22F96ACC" w14:textId="77777777" w:rsidR="00B731F9" w:rsidRPr="00ED6278" w:rsidRDefault="00B731F9" w:rsidP="00DD29F0">
            <w:pPr>
              <w:jc w:val="center"/>
            </w:pPr>
            <w:r w:rsidRPr="00ED6278">
              <w:t>Kvalifikācijas paaugstināšanas izdevumi</w:t>
            </w:r>
          </w:p>
        </w:tc>
        <w:tc>
          <w:tcPr>
            <w:tcW w:w="3544" w:type="dxa"/>
            <w:vAlign w:val="center"/>
          </w:tcPr>
          <w:p w14:paraId="5582DCCA" w14:textId="77777777" w:rsidR="00B731F9" w:rsidRPr="00ED6278" w:rsidRDefault="00B731F9" w:rsidP="00DD29F0">
            <w:pPr>
              <w:jc w:val="center"/>
            </w:pPr>
            <w:r>
              <w:t>P</w:t>
            </w:r>
            <w:r w:rsidRPr="00ED6278">
              <w:t>ieejamo finanšu līdzekļu ietvaros</w:t>
            </w:r>
          </w:p>
        </w:tc>
        <w:tc>
          <w:tcPr>
            <w:tcW w:w="2976" w:type="dxa"/>
            <w:vAlign w:val="center"/>
          </w:tcPr>
          <w:p w14:paraId="185D1291" w14:textId="77777777" w:rsidR="00B731F9" w:rsidRPr="00ED6278" w:rsidRDefault="00B731F9" w:rsidP="00DD29F0">
            <w:pPr>
              <w:jc w:val="center"/>
            </w:pPr>
            <w:r w:rsidRPr="00ED6278">
              <w:t>Valsts un pašvaldību institūciju amatpersonu un darbinieku atlīdzības likuma 27.pants; 21.06.2010 MK noteikumi Nr. 565 "Noteikumi par valsts un pašvaldību institūciju amatpersonu un darbinieku sociālajām garantijām"; Nodarbināto darbības novērtēšanas protokolā tiešā vadītāja apstiprinātās mācību vajadzības</w:t>
            </w:r>
          </w:p>
        </w:tc>
      </w:tr>
      <w:tr w:rsidR="00B731F9" w:rsidRPr="00ED6278" w14:paraId="0495FFF4" w14:textId="77777777" w:rsidTr="00DD29F0">
        <w:tc>
          <w:tcPr>
            <w:tcW w:w="846" w:type="dxa"/>
            <w:vAlign w:val="center"/>
          </w:tcPr>
          <w:p w14:paraId="5BA6FAE9" w14:textId="77777777" w:rsidR="00B731F9" w:rsidRPr="00ED6278" w:rsidRDefault="00B731F9" w:rsidP="00DD29F0">
            <w:pPr>
              <w:contextualSpacing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14:paraId="2FF4AF96" w14:textId="77777777" w:rsidR="00B731F9" w:rsidRPr="00ED6278" w:rsidRDefault="00B731F9" w:rsidP="00DD29F0">
            <w:pPr>
              <w:jc w:val="center"/>
              <w:rPr>
                <w:rFonts w:cs="Arial"/>
              </w:rPr>
            </w:pPr>
            <w:r w:rsidRPr="00ED6278">
              <w:rPr>
                <w:rFonts w:cs="Arial"/>
              </w:rPr>
              <w:t xml:space="preserve">Viena apmaksāta brīvdiena izlaiduma dienā sakarā ar amatpersonas (darbinieka) augstākās izglītības iestādes absolvēšanu vai tā bērna </w:t>
            </w:r>
            <w:r w:rsidRPr="00ED6278">
              <w:rPr>
                <w:rFonts w:cs="Arial"/>
              </w:rPr>
              <w:lastRenderedPageBreak/>
              <w:t>pamatizglītības, vidējās vai augstākās izglītības iestādes absolvēšanu</w:t>
            </w:r>
          </w:p>
        </w:tc>
        <w:tc>
          <w:tcPr>
            <w:tcW w:w="3544" w:type="dxa"/>
            <w:vAlign w:val="center"/>
          </w:tcPr>
          <w:p w14:paraId="5900D965" w14:textId="77777777" w:rsidR="00B731F9" w:rsidRPr="00ED6278" w:rsidRDefault="00B731F9" w:rsidP="00DD29F0">
            <w:pPr>
              <w:jc w:val="center"/>
            </w:pPr>
          </w:p>
        </w:tc>
        <w:tc>
          <w:tcPr>
            <w:tcW w:w="2976" w:type="dxa"/>
            <w:vAlign w:val="center"/>
          </w:tcPr>
          <w:p w14:paraId="10A0D19C" w14:textId="77777777" w:rsidR="00B731F9" w:rsidRPr="00ED6278" w:rsidRDefault="00B731F9" w:rsidP="00DD29F0">
            <w:pPr>
              <w:jc w:val="center"/>
            </w:pPr>
            <w:r w:rsidRPr="00ED6278">
              <w:t>Valsts un pašvaldību institūciju amatpersonu un darbinieku atlīdzības likuma 3.pants</w:t>
            </w:r>
          </w:p>
        </w:tc>
      </w:tr>
      <w:tr w:rsidR="00B731F9" w:rsidRPr="00ED6278" w14:paraId="2C82BEAF" w14:textId="77777777" w:rsidTr="00DD29F0">
        <w:tc>
          <w:tcPr>
            <w:tcW w:w="846" w:type="dxa"/>
            <w:vAlign w:val="center"/>
          </w:tcPr>
          <w:p w14:paraId="0988E28D" w14:textId="77777777" w:rsidR="00B731F9" w:rsidRPr="00ED6278" w:rsidRDefault="00B731F9" w:rsidP="00DD29F0">
            <w:pPr>
              <w:contextualSpacing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14:paraId="6367E375" w14:textId="77777777" w:rsidR="00B731F9" w:rsidRPr="00ED6278" w:rsidRDefault="00B731F9" w:rsidP="00DD29F0">
            <w:pPr>
              <w:jc w:val="center"/>
              <w:rPr>
                <w:rFonts w:cs="Arial"/>
              </w:rPr>
            </w:pPr>
            <w:r w:rsidRPr="00ED6278">
              <w:rPr>
                <w:rFonts w:cs="Arial"/>
              </w:rPr>
              <w:t>Trīs apmaksātas brīvdienas sakarā ar amatpersonas (darbinieka) stāšanos laulībā</w:t>
            </w:r>
          </w:p>
        </w:tc>
        <w:tc>
          <w:tcPr>
            <w:tcW w:w="3544" w:type="dxa"/>
            <w:vAlign w:val="center"/>
          </w:tcPr>
          <w:p w14:paraId="238DEE1A" w14:textId="77777777" w:rsidR="00B731F9" w:rsidRPr="00ED6278" w:rsidRDefault="00B731F9" w:rsidP="00DD29F0">
            <w:pPr>
              <w:jc w:val="center"/>
            </w:pPr>
          </w:p>
        </w:tc>
        <w:tc>
          <w:tcPr>
            <w:tcW w:w="2976" w:type="dxa"/>
            <w:vAlign w:val="center"/>
          </w:tcPr>
          <w:p w14:paraId="16F412D2" w14:textId="77777777" w:rsidR="00B731F9" w:rsidRPr="00ED6278" w:rsidRDefault="00B731F9" w:rsidP="00DD29F0">
            <w:pPr>
              <w:jc w:val="center"/>
            </w:pPr>
            <w:r w:rsidRPr="00ED6278">
              <w:t>Valsts un pašvaldību institūciju amatpersonu un darbinieku atlīdzības likuma 3.pants</w:t>
            </w:r>
          </w:p>
        </w:tc>
      </w:tr>
      <w:tr w:rsidR="00B731F9" w:rsidRPr="00ED6278" w14:paraId="069E2533" w14:textId="77777777" w:rsidTr="00DD29F0">
        <w:tc>
          <w:tcPr>
            <w:tcW w:w="846" w:type="dxa"/>
            <w:vAlign w:val="center"/>
          </w:tcPr>
          <w:p w14:paraId="2EDA027D" w14:textId="77777777" w:rsidR="00B731F9" w:rsidRPr="00ED6278" w:rsidRDefault="00B731F9" w:rsidP="00DD29F0">
            <w:pPr>
              <w:contextualSpacing/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14:paraId="7C9E30C0" w14:textId="77777777" w:rsidR="00B731F9" w:rsidRPr="00ED6278" w:rsidRDefault="00B731F9" w:rsidP="00DD29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Papildatvaļinājuma v</w:t>
            </w:r>
            <w:r w:rsidRPr="00ED6278">
              <w:rPr>
                <w:rFonts w:cs="Arial"/>
              </w:rPr>
              <w:t xml:space="preserve">iena apmaksāta </w:t>
            </w:r>
            <w:r>
              <w:rPr>
                <w:rFonts w:cs="Arial"/>
              </w:rPr>
              <w:t>darba diena</w:t>
            </w:r>
            <w:r w:rsidRPr="00ED6278">
              <w:rPr>
                <w:rFonts w:cs="Arial"/>
              </w:rPr>
              <w:t>, ja amatpersonas (darbinieka) aprūpē ir mazāk par trim bērniem vecumā līdz 14 gadiem</w:t>
            </w:r>
          </w:p>
        </w:tc>
        <w:tc>
          <w:tcPr>
            <w:tcW w:w="3544" w:type="dxa"/>
            <w:vAlign w:val="center"/>
          </w:tcPr>
          <w:p w14:paraId="5BC1308E" w14:textId="77777777" w:rsidR="00B731F9" w:rsidRPr="00ED6278" w:rsidRDefault="00B731F9" w:rsidP="00DD29F0">
            <w:pPr>
              <w:jc w:val="center"/>
            </w:pPr>
          </w:p>
        </w:tc>
        <w:tc>
          <w:tcPr>
            <w:tcW w:w="2976" w:type="dxa"/>
            <w:vAlign w:val="center"/>
          </w:tcPr>
          <w:p w14:paraId="1D70ACB4" w14:textId="77777777" w:rsidR="00B731F9" w:rsidRPr="00ED6278" w:rsidRDefault="00B731F9" w:rsidP="00DD29F0">
            <w:pPr>
              <w:jc w:val="center"/>
            </w:pPr>
            <w:r w:rsidRPr="00ED6278">
              <w:t>Darba likuma 151.pants</w:t>
            </w:r>
          </w:p>
        </w:tc>
      </w:tr>
      <w:tr w:rsidR="00B731F9" w:rsidRPr="00ED6278" w14:paraId="6D1C0443" w14:textId="77777777" w:rsidTr="00DD29F0">
        <w:tc>
          <w:tcPr>
            <w:tcW w:w="846" w:type="dxa"/>
            <w:vAlign w:val="center"/>
          </w:tcPr>
          <w:p w14:paraId="7C05C4A7" w14:textId="77777777" w:rsidR="00B731F9" w:rsidRPr="00ED6278" w:rsidRDefault="00B731F9" w:rsidP="00DD29F0">
            <w:pPr>
              <w:contextualSpacing/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14:paraId="0456448A" w14:textId="77777777" w:rsidR="00B731F9" w:rsidRPr="00ED6278" w:rsidRDefault="00B731F9" w:rsidP="00DD29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Papildatvaļinājuma t</w:t>
            </w:r>
            <w:r w:rsidRPr="00ED6278">
              <w:rPr>
                <w:rFonts w:cs="Arial"/>
              </w:rPr>
              <w:t xml:space="preserve">rīs apmaksātas </w:t>
            </w:r>
            <w:r>
              <w:rPr>
                <w:rFonts w:cs="Arial"/>
              </w:rPr>
              <w:t>darba dienas</w:t>
            </w:r>
            <w:r w:rsidRPr="00ED6278">
              <w:rPr>
                <w:rFonts w:cs="Arial"/>
              </w:rPr>
              <w:t>, ja amatpersonas (darbinieka) aprūpē ir trīs vai vairāki bērniem vecumā līdz 16 gadiem, vai bērns invalīds līdz 18 gadu vecumam</w:t>
            </w:r>
          </w:p>
        </w:tc>
        <w:tc>
          <w:tcPr>
            <w:tcW w:w="3544" w:type="dxa"/>
            <w:vAlign w:val="center"/>
          </w:tcPr>
          <w:p w14:paraId="7C901DFF" w14:textId="77777777" w:rsidR="00B731F9" w:rsidRPr="00ED6278" w:rsidRDefault="00B731F9" w:rsidP="00DD29F0">
            <w:pPr>
              <w:jc w:val="center"/>
            </w:pPr>
          </w:p>
        </w:tc>
        <w:tc>
          <w:tcPr>
            <w:tcW w:w="2976" w:type="dxa"/>
            <w:vAlign w:val="center"/>
          </w:tcPr>
          <w:p w14:paraId="3FDBC4DC" w14:textId="77777777" w:rsidR="00B731F9" w:rsidRPr="00ED6278" w:rsidRDefault="00B731F9" w:rsidP="00DD29F0">
            <w:pPr>
              <w:jc w:val="center"/>
            </w:pPr>
            <w:r w:rsidRPr="00ED6278">
              <w:t>Darba likuma 151.pants</w:t>
            </w:r>
          </w:p>
        </w:tc>
      </w:tr>
      <w:tr w:rsidR="00B731F9" w:rsidRPr="00ED6278" w14:paraId="40ADE4E2" w14:textId="77777777" w:rsidTr="00DD29F0">
        <w:tc>
          <w:tcPr>
            <w:tcW w:w="846" w:type="dxa"/>
            <w:vAlign w:val="center"/>
          </w:tcPr>
          <w:p w14:paraId="66DC5E19" w14:textId="77777777" w:rsidR="00B731F9" w:rsidRPr="00ED6278" w:rsidRDefault="00B731F9" w:rsidP="00DD29F0">
            <w:pPr>
              <w:contextualSpacing/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14:paraId="2F12C451" w14:textId="77777777" w:rsidR="00B731F9" w:rsidRPr="00ED6278" w:rsidRDefault="00B731F9" w:rsidP="00DD29F0">
            <w:pPr>
              <w:jc w:val="center"/>
            </w:pPr>
            <w:r w:rsidRPr="00ED6278">
              <w:rPr>
                <w:rFonts w:cs="Arial"/>
              </w:rPr>
              <w:t>Atlaišanas pabalsts</w:t>
            </w:r>
          </w:p>
        </w:tc>
        <w:tc>
          <w:tcPr>
            <w:tcW w:w="3544" w:type="dxa"/>
            <w:vAlign w:val="center"/>
          </w:tcPr>
          <w:p w14:paraId="7E022C17" w14:textId="77777777" w:rsidR="00B731F9" w:rsidRPr="00ED6278" w:rsidRDefault="00B731F9" w:rsidP="00DD29F0">
            <w:pPr>
              <w:jc w:val="center"/>
            </w:pPr>
            <w:r w:rsidRPr="00ED6278">
              <w:t>Saskaņā  ar  Valsts un pašvaldību institūciju amatpersonu un darbinieku atlīdzības likuma noteikto apmēru</w:t>
            </w:r>
          </w:p>
        </w:tc>
        <w:tc>
          <w:tcPr>
            <w:tcW w:w="2976" w:type="dxa"/>
            <w:vAlign w:val="center"/>
          </w:tcPr>
          <w:p w14:paraId="3462784D" w14:textId="77777777" w:rsidR="00B731F9" w:rsidRPr="00ED6278" w:rsidRDefault="00B731F9" w:rsidP="00DD29F0">
            <w:pPr>
              <w:jc w:val="center"/>
            </w:pPr>
            <w:r w:rsidRPr="00ED6278">
              <w:t>Valsts un pašvaldību institūciju amatpersonu un darbinieku atlīdzības likuma 17.pants</w:t>
            </w:r>
          </w:p>
        </w:tc>
      </w:tr>
      <w:tr w:rsidR="00B731F9" w:rsidRPr="00ED6278" w14:paraId="707EDB32" w14:textId="77777777" w:rsidTr="00DD29F0">
        <w:tc>
          <w:tcPr>
            <w:tcW w:w="846" w:type="dxa"/>
            <w:vAlign w:val="center"/>
          </w:tcPr>
          <w:p w14:paraId="6A3293CE" w14:textId="77777777" w:rsidR="00B731F9" w:rsidRPr="00ED6278" w:rsidRDefault="00B731F9" w:rsidP="00DD29F0">
            <w:pPr>
              <w:contextualSpacing/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14:paraId="315D40A5" w14:textId="77777777" w:rsidR="00B731F9" w:rsidRPr="00ED6278" w:rsidRDefault="00B731F9" w:rsidP="00DD29F0">
            <w:pPr>
              <w:jc w:val="center"/>
            </w:pPr>
            <w:r w:rsidRPr="00ED6278">
              <w:t>Kompensācija par speciālo medicīniski optisko redzes korekcijas līdzekļu iegādi</w:t>
            </w:r>
          </w:p>
        </w:tc>
        <w:tc>
          <w:tcPr>
            <w:tcW w:w="3544" w:type="dxa"/>
            <w:vAlign w:val="center"/>
          </w:tcPr>
          <w:p w14:paraId="6185C89D" w14:textId="4C9AE642" w:rsidR="00B731F9" w:rsidRPr="00ED6278" w:rsidRDefault="00CD2641" w:rsidP="00DD29F0">
            <w:pPr>
              <w:jc w:val="center"/>
            </w:pPr>
            <w:r>
              <w:t>Līdz 8</w:t>
            </w:r>
            <w:r w:rsidR="00B731F9">
              <w:t>0</w:t>
            </w:r>
            <w:r w:rsidR="007D0162">
              <w:t>.00</w:t>
            </w:r>
            <w:r w:rsidR="00B731F9">
              <w:t xml:space="preserve"> </w:t>
            </w:r>
            <w:r w:rsidR="00B731F9" w:rsidRPr="00A8152E">
              <w:rPr>
                <w:i/>
              </w:rPr>
              <w:t>euro</w:t>
            </w:r>
          </w:p>
        </w:tc>
        <w:tc>
          <w:tcPr>
            <w:tcW w:w="2976" w:type="dxa"/>
            <w:vAlign w:val="center"/>
          </w:tcPr>
          <w:p w14:paraId="646E2499" w14:textId="3252A5AE" w:rsidR="00B731F9" w:rsidRPr="00ED6278" w:rsidRDefault="00B731F9" w:rsidP="00DD29F0">
            <w:pPr>
              <w:jc w:val="center"/>
            </w:pPr>
            <w:r w:rsidRPr="00ED6278">
              <w:t xml:space="preserve">10.08.2002. </w:t>
            </w:r>
            <w:r>
              <w:t>MK n</w:t>
            </w:r>
            <w:r w:rsidRPr="00ED6278">
              <w:t>oteikumu Nr.343  “Darba aizsardzības prasības, strādājot ar displeju” 12.punkts; Saskaņā  ar Lauksaimniecības datu centra noteikto kārtību</w:t>
            </w:r>
            <w:r w:rsidR="00CD2641">
              <w:t xml:space="preserve"> un veselības apdrošināšanas nosacījumiem</w:t>
            </w:r>
          </w:p>
        </w:tc>
      </w:tr>
      <w:tr w:rsidR="00B731F9" w:rsidRPr="00ED6278" w14:paraId="6571EF78" w14:textId="77777777" w:rsidTr="00DD29F0">
        <w:tc>
          <w:tcPr>
            <w:tcW w:w="846" w:type="dxa"/>
            <w:vAlign w:val="center"/>
          </w:tcPr>
          <w:p w14:paraId="4DABF04B" w14:textId="77777777" w:rsidR="00B731F9" w:rsidRPr="00ED6278" w:rsidRDefault="00B731F9" w:rsidP="00DD29F0">
            <w:pPr>
              <w:contextualSpacing/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14:paraId="582E5313" w14:textId="77777777" w:rsidR="00B731F9" w:rsidRPr="00ED6278" w:rsidRDefault="00B731F9" w:rsidP="00DD29F0">
            <w:pPr>
              <w:jc w:val="center"/>
            </w:pPr>
            <w:r w:rsidRPr="00ED6278">
              <w:t>Veselības apdrošināšana</w:t>
            </w:r>
          </w:p>
        </w:tc>
        <w:tc>
          <w:tcPr>
            <w:tcW w:w="3544" w:type="dxa"/>
            <w:vAlign w:val="center"/>
          </w:tcPr>
          <w:p w14:paraId="0435D3FA" w14:textId="77777777" w:rsidR="00B731F9" w:rsidRPr="00ED6278" w:rsidRDefault="00B731F9" w:rsidP="00DD29F0">
            <w:pPr>
              <w:jc w:val="center"/>
            </w:pPr>
            <w:r>
              <w:t>N</w:t>
            </w:r>
            <w:r w:rsidRPr="00ED6278">
              <w:t>ormatīvajos aktos noteiktajā apmērā</w:t>
            </w:r>
          </w:p>
        </w:tc>
        <w:tc>
          <w:tcPr>
            <w:tcW w:w="2976" w:type="dxa"/>
            <w:vAlign w:val="center"/>
          </w:tcPr>
          <w:p w14:paraId="2011C9A8" w14:textId="77777777" w:rsidR="00B731F9" w:rsidRPr="00ED6278" w:rsidRDefault="00B731F9" w:rsidP="00DD29F0">
            <w:pPr>
              <w:jc w:val="center"/>
            </w:pPr>
            <w:r w:rsidRPr="00ED6278">
              <w:t>Valsts un pašvaldību institūciju amatpersonu un darbinieku atlīdzības likuma 37.pants</w:t>
            </w:r>
          </w:p>
        </w:tc>
      </w:tr>
    </w:tbl>
    <w:p w14:paraId="5EFCCCB2" w14:textId="77777777" w:rsidR="00B731F9" w:rsidRPr="00ED6278" w:rsidRDefault="00B731F9" w:rsidP="00B731F9">
      <w:pPr>
        <w:spacing w:after="0" w:line="240" w:lineRule="auto"/>
        <w:contextualSpacing/>
        <w:jc w:val="center"/>
      </w:pPr>
    </w:p>
    <w:p w14:paraId="2345BD68" w14:textId="77777777" w:rsidR="00B731F9" w:rsidRPr="00ED6278" w:rsidRDefault="00B731F9" w:rsidP="00B731F9"/>
    <w:p w14:paraId="457FF21B" w14:textId="77777777" w:rsidR="003D2C72" w:rsidRDefault="003D2C72"/>
    <w:sectPr w:rsidR="003D2C72" w:rsidSect="00ED627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F9"/>
    <w:rsid w:val="001D6ADA"/>
    <w:rsid w:val="002D3D0A"/>
    <w:rsid w:val="00303F78"/>
    <w:rsid w:val="00334C12"/>
    <w:rsid w:val="003D2C72"/>
    <w:rsid w:val="0047687C"/>
    <w:rsid w:val="007D0162"/>
    <w:rsid w:val="00B731F9"/>
    <w:rsid w:val="00C658CD"/>
    <w:rsid w:val="00CD2641"/>
    <w:rsid w:val="00CE3480"/>
    <w:rsid w:val="00D54E7A"/>
    <w:rsid w:val="00E172D4"/>
    <w:rsid w:val="00E80961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8B28A"/>
  <w15:chartTrackingRefBased/>
  <w15:docId w15:val="{6FE4209D-0A10-4DBC-AF3D-C75CE01F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731F9"/>
    <w:rPr>
      <w:b/>
      <w:bCs/>
    </w:rPr>
  </w:style>
  <w:style w:type="paragraph" w:styleId="NormalWeb">
    <w:name w:val="Normal (Web)"/>
    <w:basedOn w:val="Normal"/>
    <w:uiPriority w:val="99"/>
    <w:unhideWhenUsed/>
    <w:rsid w:val="00B7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6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8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Lauksaimniecības datu centrs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Mahņova</dc:creator>
  <cp:keywords/>
  <dc:description/>
  <cp:lastModifiedBy>Solvita Sondore-Rožeka</cp:lastModifiedBy>
  <cp:revision>10</cp:revision>
  <dcterms:created xsi:type="dcterms:W3CDTF">2022-11-11T12:10:00Z</dcterms:created>
  <dcterms:modified xsi:type="dcterms:W3CDTF">2022-11-14T08:03:00Z</dcterms:modified>
</cp:coreProperties>
</file>