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B1" w:rsidRDefault="005E3679" w:rsidP="005E3679">
      <w:pPr>
        <w:jc w:val="center"/>
      </w:pPr>
      <w:r>
        <w:t xml:space="preserve">Atnešanās viegluma indeksi – Tiešais </w:t>
      </w:r>
      <w:r w:rsidR="00B94BAD">
        <w:t>(</w:t>
      </w:r>
      <w:r w:rsidR="00217B13">
        <w:t>AVt</w:t>
      </w:r>
      <w:r w:rsidR="00B94BAD">
        <w:t xml:space="preserve">) </w:t>
      </w:r>
      <w:r>
        <w:t>un maternālais</w:t>
      </w:r>
      <w:r w:rsidR="00B94BAD">
        <w:t xml:space="preserve"> (</w:t>
      </w:r>
      <w:r w:rsidR="00217B13">
        <w:t>AVm</w:t>
      </w:r>
      <w:r w:rsidR="00B94BAD">
        <w:t>)</w:t>
      </w:r>
    </w:p>
    <w:p w:rsidR="005E3679" w:rsidRDefault="005E3679" w:rsidP="005E3679">
      <w:pPr>
        <w:jc w:val="center"/>
      </w:pPr>
    </w:p>
    <w:p w:rsidR="005E3679" w:rsidRDefault="005E3679" w:rsidP="005E3679">
      <w:pPr>
        <w:jc w:val="center"/>
      </w:pPr>
      <w:r>
        <w:t xml:space="preserve">Atnešanās indekss tiek noteikts, lai liellopu audzētājiem </w:t>
      </w:r>
      <w:r w:rsidR="00B94BAD">
        <w:t>būtu plašāka informācija veicot sava ganāmpulk</w:t>
      </w:r>
      <w:r w:rsidR="00CF306A">
        <w:t>a</w:t>
      </w:r>
      <w:r w:rsidR="00B94BAD">
        <w:t xml:space="preserve"> dzīvnieku selekciju un atlasi.</w:t>
      </w:r>
    </w:p>
    <w:p w:rsidR="00B94BAD" w:rsidRDefault="00B94BAD" w:rsidP="00B94BAD">
      <w:pPr>
        <w:jc w:val="both"/>
      </w:pPr>
      <w:r>
        <w:t>Tiešais atnešanās v</w:t>
      </w:r>
      <w:r w:rsidR="00C2242F">
        <w:t>i</w:t>
      </w:r>
      <w:r>
        <w:t xml:space="preserve">egluma indekss </w:t>
      </w:r>
      <w:r w:rsidR="00217B13">
        <w:t>AVt</w:t>
      </w:r>
      <w:r>
        <w:t xml:space="preserve"> ir primāri </w:t>
      </w:r>
      <w:r w:rsidR="00C2242F">
        <w:t>būtisks saimniekiem, lai at</w:t>
      </w:r>
      <w:r>
        <w:t>lasītu atbilstošu vaislinieku pirmpienēm. Izvēlot</w:t>
      </w:r>
      <w:r w:rsidR="00C2242F">
        <w:t xml:space="preserve">ies bulli ar augstāku </w:t>
      </w:r>
      <w:r w:rsidR="00217B13">
        <w:t>AVt</w:t>
      </w:r>
      <w:r w:rsidR="00C2242F">
        <w:t xml:space="preserve"> atneša</w:t>
      </w:r>
      <w:r>
        <w:t>nās indeksu, saimnieks izvairās no problemātiskām dzemdībām, jo šāda buļļa teļie</w:t>
      </w:r>
      <w:r w:rsidR="00C2242F">
        <w:t>m ir tendence uz atnešanos bez pa</w:t>
      </w:r>
      <w:r>
        <w:t>līdzības.</w:t>
      </w:r>
    </w:p>
    <w:p w:rsidR="00B94BAD" w:rsidRDefault="00B94BAD" w:rsidP="00B94BAD">
      <w:pPr>
        <w:jc w:val="both"/>
      </w:pPr>
      <w:r>
        <w:t xml:space="preserve">Ilgtermiņa saimniekošanai tikpat nozīmīgi ir sekot līdzi maternālajam atnešanās vieglumam </w:t>
      </w:r>
      <w:r w:rsidR="00217B13">
        <w:t>AVm</w:t>
      </w:r>
      <w:r>
        <w:t>, kas sniegs informāciju par mātes ciltsvērtību un veicot laicīgu selekciju</w:t>
      </w:r>
      <w:r w:rsidR="00CF306A">
        <w:t>,</w:t>
      </w:r>
      <w:r>
        <w:t xml:space="preserve"> ļaus saimniekiem izvairīties no problemātiskām govīm</w:t>
      </w:r>
      <w:r w:rsidR="00C73B4B">
        <w:t xml:space="preserve"> – ar zemu </w:t>
      </w:r>
      <w:r w:rsidR="00217B13">
        <w:t>AVm</w:t>
      </w:r>
      <w:r w:rsidR="00C73B4B">
        <w:t xml:space="preserve"> indeksu</w:t>
      </w:r>
      <w:r>
        <w:t xml:space="preserve">, kam ir tendence </w:t>
      </w:r>
      <w:r w:rsidR="00C73B4B">
        <w:t xml:space="preserve">uz atnešanos ar palīdzību. </w:t>
      </w:r>
      <w:r w:rsidR="00217B13">
        <w:t xml:space="preserve">Atlasot bulli ar augstu AVm indeksu, šī buļļa meitām- pirmpienēm paredzama vieglāka atnešanās. </w:t>
      </w:r>
    </w:p>
    <w:p w:rsidR="00C73B4B" w:rsidRDefault="00C73B4B" w:rsidP="00B94BAD">
      <w:pPr>
        <w:jc w:val="both"/>
      </w:pPr>
      <w:r>
        <w:t>Modelis</w:t>
      </w:r>
    </w:p>
    <w:p w:rsidR="00C73B4B" w:rsidRDefault="00C73B4B" w:rsidP="00B94BAD">
      <w:pPr>
        <w:jc w:val="both"/>
        <w:rPr>
          <w:lang w:val="en-GB"/>
        </w:rPr>
      </w:pPr>
      <w:r w:rsidRPr="00EC605C">
        <w:rPr>
          <w:u w:val="single"/>
        </w:rPr>
        <w:t>Šķirnes:</w:t>
      </w:r>
      <w:r>
        <w:t xml:space="preserve">  </w:t>
      </w:r>
      <w:r w:rsidR="00862794">
        <w:t>metode ir izstrādāta</w:t>
      </w:r>
      <w:r>
        <w:t xml:space="preserve"> </w:t>
      </w:r>
      <w:r>
        <w:rPr>
          <w:lang w:val="en-GB"/>
        </w:rPr>
        <w:t>Holšteinas (HOL) un sarkano šķirņu govju (RDC) novērtēšanai.</w:t>
      </w:r>
    </w:p>
    <w:p w:rsidR="00C73B4B" w:rsidRPr="00EC605C" w:rsidRDefault="00C73B4B" w:rsidP="00B94BAD">
      <w:pPr>
        <w:jc w:val="both"/>
        <w:rPr>
          <w:u w:val="single"/>
          <w:lang w:val="en-GB"/>
        </w:rPr>
      </w:pPr>
      <w:r w:rsidRPr="00EC605C">
        <w:rPr>
          <w:u w:val="single"/>
          <w:lang w:val="en-GB"/>
        </w:rPr>
        <w:t>Pazīmes:</w:t>
      </w:r>
    </w:p>
    <w:p w:rsidR="00C73B4B" w:rsidRPr="00EC605C" w:rsidRDefault="00C73B4B" w:rsidP="00EC605C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EC605C">
        <w:rPr>
          <w:lang w:val="en-GB"/>
        </w:rPr>
        <w:t>Atnešanās vieglums</w:t>
      </w:r>
    </w:p>
    <w:p w:rsidR="00C73B4B" w:rsidRDefault="00C73B4B" w:rsidP="00C73B4B">
      <w:pPr>
        <w:pStyle w:val="ListParagraph"/>
        <w:numPr>
          <w:ilvl w:val="1"/>
          <w:numId w:val="3"/>
        </w:numPr>
        <w:jc w:val="both"/>
      </w:pPr>
      <w:r>
        <w:rPr>
          <w:lang w:val="en-GB"/>
        </w:rPr>
        <w:t>bez</w:t>
      </w:r>
      <w:r>
        <w:t xml:space="preserve"> palīdzības</w:t>
      </w:r>
    </w:p>
    <w:p w:rsidR="00C73B4B" w:rsidRDefault="00C73B4B" w:rsidP="00C73B4B">
      <w:pPr>
        <w:pStyle w:val="ListParagraph"/>
        <w:numPr>
          <w:ilvl w:val="1"/>
          <w:numId w:val="3"/>
        </w:numPr>
        <w:jc w:val="both"/>
      </w:pPr>
      <w:r>
        <w:t xml:space="preserve"> ar palīdzību</w:t>
      </w:r>
    </w:p>
    <w:p w:rsidR="00C73B4B" w:rsidRDefault="00C73B4B" w:rsidP="00C73B4B">
      <w:pPr>
        <w:pStyle w:val="ListParagraph"/>
        <w:numPr>
          <w:ilvl w:val="1"/>
          <w:numId w:val="3"/>
        </w:numPr>
        <w:jc w:val="both"/>
      </w:pPr>
      <w:r>
        <w:t>Ar veterinārārsta palīdzību</w:t>
      </w:r>
    </w:p>
    <w:p w:rsidR="00C73B4B" w:rsidRDefault="00C73B4B" w:rsidP="008049E0">
      <w:pPr>
        <w:pStyle w:val="ListParagraph"/>
        <w:numPr>
          <w:ilvl w:val="1"/>
          <w:numId w:val="3"/>
        </w:numPr>
        <w:jc w:val="both"/>
      </w:pPr>
      <w:r>
        <w:t>Ķeizargrieziens</w:t>
      </w:r>
    </w:p>
    <w:p w:rsidR="00EC605C" w:rsidRPr="00EC605C" w:rsidRDefault="00EC605C" w:rsidP="00EC605C">
      <w:pPr>
        <w:pStyle w:val="ListParagraph"/>
        <w:numPr>
          <w:ilvl w:val="0"/>
          <w:numId w:val="6"/>
        </w:numPr>
        <w:jc w:val="both"/>
      </w:pPr>
      <w:r w:rsidRPr="00EC605C">
        <w:t>Nedzīvi dzimušie</w:t>
      </w:r>
    </w:p>
    <w:p w:rsidR="00EC605C" w:rsidRDefault="00EC605C" w:rsidP="00EC605C">
      <w:pPr>
        <w:ind w:firstLine="720"/>
        <w:jc w:val="both"/>
      </w:pPr>
      <w:r>
        <w:t>0/1  (dzīvs / nedzīvs vai nobeidzies 48 stundu laikā)</w:t>
      </w:r>
    </w:p>
    <w:p w:rsidR="00EC605C" w:rsidRDefault="00EC605C" w:rsidP="00EC605C">
      <w:pPr>
        <w:ind w:firstLine="720"/>
        <w:jc w:val="both"/>
      </w:pPr>
    </w:p>
    <w:p w:rsidR="00EC605C" w:rsidRPr="00EC605C" w:rsidRDefault="00EC605C" w:rsidP="00EC605C">
      <w:pPr>
        <w:rPr>
          <w:u w:val="single"/>
        </w:rPr>
      </w:pPr>
      <w:r w:rsidRPr="00EC605C">
        <w:rPr>
          <w:u w:val="single"/>
        </w:rPr>
        <w:t>Dati:</w:t>
      </w:r>
    </w:p>
    <w:p w:rsidR="00EC605C" w:rsidRDefault="00EC605C" w:rsidP="00EC605C">
      <w:r>
        <w:t>Datus reģistrē dzīvnieku audzētāji LDC sistēmā. Kā arī dati tiek apk</w:t>
      </w:r>
      <w:r w:rsidR="00CF306A">
        <w:t>opoti no pārraudzības programma</w:t>
      </w:r>
      <w:r>
        <w:t xml:space="preserve">. </w:t>
      </w:r>
    </w:p>
    <w:p w:rsidR="00EC605C" w:rsidRDefault="00EC605C" w:rsidP="00EC605C">
      <w:r>
        <w:t xml:space="preserve">Laika periods: Dati tiek iekļauti sākot no 2000 gada 1 janvāra. </w:t>
      </w:r>
    </w:p>
    <w:p w:rsidR="00EC605C" w:rsidRDefault="00EC605C" w:rsidP="00EC605C">
      <w:r>
        <w:t>Laktācijas: Dati tiek iekļauti par pirmajām trim laktācijām: 1,2,3</w:t>
      </w:r>
    </w:p>
    <w:p w:rsidR="00427AFD" w:rsidRDefault="00427AFD" w:rsidP="00EC605C">
      <w:r>
        <w:t>Buļļi- visi buļļi: dabīgā apsēklošana, stacijas buļļi, importa buļļi tiek vērtēti vienlīdzīgi.</w:t>
      </w:r>
    </w:p>
    <w:p w:rsidR="00EC605C" w:rsidRDefault="00EC605C" w:rsidP="00EC605C">
      <w:r>
        <w:t xml:space="preserve">Citi kritēriji: </w:t>
      </w:r>
    </w:p>
    <w:p w:rsidR="00EC605C" w:rsidRDefault="00EC605C" w:rsidP="00EC605C">
      <w:pPr>
        <w:pStyle w:val="ListParagraph"/>
        <w:numPr>
          <w:ilvl w:val="0"/>
          <w:numId w:val="8"/>
        </w:numPr>
      </w:pPr>
      <w:r>
        <w:t>Netiek iekļauti dati par embrio trans</w:t>
      </w:r>
      <w:r w:rsidR="00CF306A">
        <w:t>ference</w:t>
      </w:r>
    </w:p>
    <w:p w:rsidR="00EC605C" w:rsidRDefault="00EC605C" w:rsidP="00EC605C">
      <w:pPr>
        <w:pStyle w:val="ListParagraph"/>
        <w:numPr>
          <w:ilvl w:val="0"/>
          <w:numId w:val="8"/>
        </w:numPr>
      </w:pPr>
      <w:r>
        <w:t>Netiek iekļauti dati par dvīņu vai vārāk vienlaicīgi dzimušiem teļiem</w:t>
      </w:r>
    </w:p>
    <w:p w:rsidR="00D26D14" w:rsidRDefault="00C3433A" w:rsidP="00D26D14">
      <w:pPr>
        <w:pStyle w:val="ListParagraph"/>
        <w:numPr>
          <w:ilvl w:val="0"/>
          <w:numId w:val="8"/>
        </w:numPr>
      </w:pPr>
      <w:r>
        <w:t>Vecums govīm ir jābūt 20-40, 30-56 un 44-75 mēneši attiecīgi pirmajās trīs laktācijās</w:t>
      </w:r>
    </w:p>
    <w:p w:rsidR="00D26D14" w:rsidRDefault="00D26D14" w:rsidP="00D26D14">
      <w:pPr>
        <w:pStyle w:val="ListParagraph"/>
        <w:numPr>
          <w:ilvl w:val="0"/>
          <w:numId w:val="8"/>
        </w:numPr>
      </w:pPr>
      <w:r>
        <w:t xml:space="preserve">Pieļaujamais atnešanās periods ir 265 līdz 295 dienas </w:t>
      </w:r>
    </w:p>
    <w:p w:rsidR="00C3433A" w:rsidRDefault="00D26D14" w:rsidP="00EC605C">
      <w:pPr>
        <w:pStyle w:val="ListParagraph"/>
        <w:numPr>
          <w:ilvl w:val="0"/>
          <w:numId w:val="8"/>
        </w:numPr>
      </w:pPr>
      <w:r>
        <w:t>Dati tiek iekļauti arī par “nezināmajiem” t</w:t>
      </w:r>
      <w:r w:rsidR="00C2242F">
        <w:t>eļiem, kam nav reģistrēts ID nu</w:t>
      </w:r>
      <w:r>
        <w:t>murs, ar noteikumu, ka ir zināma izcelsme- tēvs un māte</w:t>
      </w:r>
    </w:p>
    <w:p w:rsidR="00D26D14" w:rsidRDefault="00D26D14" w:rsidP="00EC605C">
      <w:pPr>
        <w:pStyle w:val="ListParagraph"/>
        <w:numPr>
          <w:ilvl w:val="0"/>
          <w:numId w:val="8"/>
        </w:numPr>
      </w:pPr>
      <w:r>
        <w:t>Trūkstošie dati par tēvu tiek aizstāti ar bulli, kam ir atbilstošs servisa periods teļa mātei attiecīgajā atnešanās periodā</w:t>
      </w:r>
    </w:p>
    <w:p w:rsidR="00D26D14" w:rsidRDefault="00D26D14" w:rsidP="00EC605C">
      <w:pPr>
        <w:pStyle w:val="ListParagraph"/>
        <w:numPr>
          <w:ilvl w:val="0"/>
          <w:numId w:val="8"/>
        </w:numPr>
      </w:pPr>
      <w:r>
        <w:lastRenderedPageBreak/>
        <w:t>Teļiem un to mātēm ir jābūt zināmai izcelsmei- tēvam un mātei.</w:t>
      </w:r>
    </w:p>
    <w:p w:rsidR="00D26D14" w:rsidRDefault="00427AFD" w:rsidP="00EC605C">
      <w:pPr>
        <w:pStyle w:val="ListParagraph"/>
        <w:numPr>
          <w:ilvl w:val="0"/>
          <w:numId w:val="8"/>
        </w:numPr>
      </w:pPr>
      <w:r>
        <w:t>Par cik teļa dz</w:t>
      </w:r>
      <w:r w:rsidR="00D26D14">
        <w:t>imu</w:t>
      </w:r>
      <w:r>
        <w:t xml:space="preserve">ms nav zinām aptuveni 0,4% datu, lai izvairītos no salīdzinoši maz datiem atsevišķos fiksētajos efektos, kur dzimums tiek iekļauts, šiem teļiem dzimums tiek aizstāts ar V (vīriešu). </w:t>
      </w:r>
    </w:p>
    <w:p w:rsidR="00427AFD" w:rsidRDefault="005F08F0" w:rsidP="005F08F0">
      <w:r>
        <w:t>Metode</w:t>
      </w:r>
    </w:p>
    <w:p w:rsidR="005F08F0" w:rsidRDefault="005F08F0" w:rsidP="005F08F0">
      <w:r>
        <w:t xml:space="preserve">MT-ML-BLUP-AM (MT: atnešanās vieglums un nedzīvie teļi kopīgi tiek vērtēti, ML: pirmās trīs laktācijas, AM: visi teļi un govis, un to izcelsme), ar savstarpēji korelētiem tiešajiem un maternālajiem ģenētiskajiem faktoriem. </w:t>
      </w:r>
      <w:r w:rsidR="00AB7F28">
        <w:t xml:space="preserve">(Liu, Z .2004) (Liu, Z. 2012) </w:t>
      </w:r>
    </w:p>
    <w:p w:rsidR="005F08F0" w:rsidRDefault="005F08F0" w:rsidP="005F08F0">
      <w:r>
        <w:t xml:space="preserve">Vides faktori: </w:t>
      </w:r>
    </w:p>
    <w:p w:rsidR="005F08F0" w:rsidRDefault="005F08F0" w:rsidP="005F08F0">
      <w:r>
        <w:t xml:space="preserve">Pazīme*laktāciju kombinācija: </w:t>
      </w:r>
    </w:p>
    <w:p w:rsidR="005F08F0" w:rsidRDefault="005F08F0" w:rsidP="005F08F0">
      <w:pPr>
        <w:ind w:firstLine="720"/>
      </w:pPr>
      <w:r>
        <w:t xml:space="preserve">ganāmpulks-gads (F), </w:t>
      </w:r>
    </w:p>
    <w:p w:rsidR="005F08F0" w:rsidRDefault="005F08F0" w:rsidP="005F08F0">
      <w:pPr>
        <w:ind w:firstLine="720"/>
      </w:pPr>
      <w:r>
        <w:t>ganāmpulks*</w:t>
      </w:r>
      <w:r w:rsidR="002E131D">
        <w:t>atnešan</w:t>
      </w:r>
      <w:r>
        <w:t xml:space="preserve">ās gada klase*atnešanās sezona*teļa dzimums (F), </w:t>
      </w:r>
    </w:p>
    <w:p w:rsidR="005F08F0" w:rsidRDefault="002E131D" w:rsidP="005F08F0">
      <w:pPr>
        <w:ind w:firstLine="720"/>
      </w:pPr>
      <w:r>
        <w:t>atn</w:t>
      </w:r>
      <w:r w:rsidR="00E0374C">
        <w:t>e</w:t>
      </w:r>
      <w:r>
        <w:t>šanā</w:t>
      </w:r>
      <w:r w:rsidR="005F08F0">
        <w:t>s gads*</w:t>
      </w:r>
      <w:r>
        <w:t>atnešanās</w:t>
      </w:r>
      <w:r w:rsidR="005F08F0">
        <w:t xml:space="preserve"> mēnesis*</w:t>
      </w:r>
      <w:r>
        <w:t>atneša</w:t>
      </w:r>
      <w:r w:rsidR="005F08F0">
        <w:t>nās vecuma klase*teļa dzimums (F)</w:t>
      </w:r>
    </w:p>
    <w:p w:rsidR="005F08F0" w:rsidRDefault="005F08F0" w:rsidP="005F08F0"/>
    <w:p w:rsidR="00EC605C" w:rsidRDefault="005F08F0" w:rsidP="00EC605C">
      <w:r>
        <w:t>Korekcijas, kas veiktas lai neiekļautu neviendabīgu dispersiju novērtēšanas modelī:</w:t>
      </w:r>
    </w:p>
    <w:p w:rsidR="002E131D" w:rsidRDefault="002E131D" w:rsidP="00EC605C">
      <w:r>
        <w:t>Pirms modeļa ietekmes noteikšanas, sekojošo fiksēto faktoru klases, katra atsevišķi tika izteikti Snell vienībās (0-100%</w:t>
      </w:r>
      <w:r w:rsidR="00FA37F6">
        <w:t>)</w:t>
      </w:r>
      <w:r>
        <w:t>:</w:t>
      </w:r>
    </w:p>
    <w:p w:rsidR="002E131D" w:rsidRDefault="002E131D" w:rsidP="00EC605C">
      <w:r>
        <w:tab/>
        <w:t>Reģions*atnešanās gada klase * atnešanās sezonas klase * teļa dzimums</w:t>
      </w:r>
    </w:p>
    <w:p w:rsidR="002E131D" w:rsidRDefault="002E131D" w:rsidP="002E131D">
      <w:r>
        <w:t>Ģenētiskās grupas un to mijiedarbība:</w:t>
      </w:r>
    </w:p>
    <w:p w:rsidR="002E131D" w:rsidRDefault="002E131D" w:rsidP="002E131D">
      <w:r>
        <w:t>Aprēķinos tiek iekļ</w:t>
      </w:r>
      <w:r w:rsidR="00FA37F6">
        <w:t>auta visa informācija par zināmo</w:t>
      </w:r>
      <w:r>
        <w:t xml:space="preserve"> izcelsmi. Nezināmie senči tiek aizstāti izveidojot ģenētikās grupas atkarībā no dzimšanas gada un selekcijas virziena.  </w:t>
      </w:r>
    </w:p>
    <w:p w:rsidR="00FA37F6" w:rsidRDefault="00FA37F6" w:rsidP="00FA37F6">
      <w:pPr>
        <w:spacing w:before="60" w:after="0" w:line="240" w:lineRule="auto"/>
      </w:pPr>
      <w:r>
        <w:t xml:space="preserve">Validācija : </w:t>
      </w:r>
    </w:p>
    <w:p w:rsidR="00FA37F6" w:rsidRDefault="008049E0" w:rsidP="00FA37F6">
      <w:pPr>
        <w:numPr>
          <w:ilvl w:val="0"/>
          <w:numId w:val="9"/>
        </w:numPr>
        <w:spacing w:before="60" w:after="0" w:line="240" w:lineRule="auto"/>
      </w:pPr>
      <w:r>
        <w:t>Pie katras vēr</w:t>
      </w:r>
      <w:r w:rsidR="00FA37F6">
        <w:t>tēš</w:t>
      </w:r>
      <w:r w:rsidR="00C2242F">
        <w:t>a</w:t>
      </w:r>
      <w:r w:rsidR="00FA37F6">
        <w:t>nas tiek analizēti dzīvnieku dati un izcelsmes dati</w:t>
      </w:r>
    </w:p>
    <w:p w:rsidR="00FA37F6" w:rsidRDefault="00862794" w:rsidP="00FA37F6">
      <w:pPr>
        <w:numPr>
          <w:ilvl w:val="0"/>
          <w:numId w:val="9"/>
        </w:numPr>
        <w:spacing w:before="60" w:after="0" w:line="240" w:lineRule="auto"/>
      </w:pPr>
      <w:r>
        <w:t>Katrā vērtēšanā tiek salīdzināti jaunie vēr</w:t>
      </w:r>
      <w:r w:rsidR="00FA37F6">
        <w:t>tējumi ar iepriekšējie</w:t>
      </w:r>
      <w:r>
        <w:t>m</w:t>
      </w:r>
      <w:r w:rsidR="00FA37F6">
        <w:t xml:space="preserve">, tiek noteikti ģenētiskie rādītāji un laika gaitā nepieciešams izvērtēt datu stabilitāti. </w:t>
      </w:r>
    </w:p>
    <w:p w:rsidR="00862794" w:rsidRDefault="00862794" w:rsidP="00862794">
      <w:pPr>
        <w:spacing w:before="60" w:after="0" w:line="240" w:lineRule="auto"/>
      </w:pPr>
    </w:p>
    <w:p w:rsidR="00862794" w:rsidRDefault="00862794" w:rsidP="00862794">
      <w:pPr>
        <w:spacing w:before="60" w:after="0" w:line="240" w:lineRule="auto"/>
      </w:pPr>
      <w:r>
        <w:t>Rezultāti:</w:t>
      </w:r>
    </w:p>
    <w:p w:rsidR="00862794" w:rsidRDefault="00862794" w:rsidP="00862794">
      <w:pPr>
        <w:spacing w:before="60" w:after="0" w:line="240" w:lineRule="auto"/>
      </w:pPr>
      <w:r>
        <w:t xml:space="preserve">Atnešanās viegluma novērtēšanai tiek katram dzīvniekam noteikta relatīvā ciltsvērtība , kas vidēji govju bāzes populācijai =100 ar standartizkliedi=12. </w:t>
      </w:r>
    </w:p>
    <w:p w:rsidR="00862794" w:rsidRDefault="00862794" w:rsidP="00862794">
      <w:pPr>
        <w:spacing w:before="60" w:after="0" w:line="240" w:lineRule="auto"/>
      </w:pPr>
    </w:p>
    <w:p w:rsidR="00862794" w:rsidRDefault="00862794" w:rsidP="00862794">
      <w:pPr>
        <w:spacing w:before="60" w:after="0" w:line="240" w:lineRule="auto"/>
      </w:pPr>
      <w:r>
        <w:t>Bāzes populācija:</w:t>
      </w:r>
    </w:p>
    <w:p w:rsidR="00862794" w:rsidRDefault="00862794" w:rsidP="00862794">
      <w:pPr>
        <w:spacing w:before="60" w:after="0" w:line="240" w:lineRule="auto"/>
      </w:pPr>
      <w:r>
        <w:t xml:space="preserve">Bāzes populācijā ir iekļautas govis, kam ir reģistrēti dati un kas ir vecuma grupā no 4- 6 gadi. Katru gadu Aprīlī tiek veiktas izmaiņas govju bāzes grupā. </w:t>
      </w:r>
    </w:p>
    <w:p w:rsidR="00862794" w:rsidRDefault="00862794" w:rsidP="00862794">
      <w:pPr>
        <w:spacing w:before="60" w:after="0" w:line="240" w:lineRule="auto"/>
      </w:pPr>
    </w:p>
    <w:p w:rsidR="00862794" w:rsidRDefault="00862794" w:rsidP="00862794">
      <w:pPr>
        <w:spacing w:before="60" w:after="0" w:line="240" w:lineRule="auto"/>
      </w:pPr>
      <w:r>
        <w:t>Ticamības koeficients:</w:t>
      </w:r>
    </w:p>
    <w:p w:rsidR="00862794" w:rsidRDefault="00862794" w:rsidP="00862794">
      <w:pPr>
        <w:spacing w:before="60" w:after="0" w:line="240" w:lineRule="auto"/>
      </w:pPr>
      <w:r>
        <w:t xml:space="preserve">Ticamības noteikšanai </w:t>
      </w:r>
      <w:r w:rsidR="00CF306A">
        <w:t>t</w:t>
      </w:r>
      <w:r>
        <w:t>iek izmantota vairāk vairākpazīmju efektīvo meitu snieguma (MT-EDC) metode</w:t>
      </w:r>
      <w:r w:rsidR="00AB7F28">
        <w:t>, kas balstīta uz principa</w:t>
      </w:r>
      <w:r w:rsidR="00CF306A">
        <w:t>,</w:t>
      </w:r>
      <w:r w:rsidR="00AB7F28">
        <w:t xml:space="preserve"> ka govij un teļam ir viens fenotipiskais ieraksts.</w:t>
      </w:r>
    </w:p>
    <w:p w:rsidR="00862794" w:rsidRDefault="00862794" w:rsidP="00862794">
      <w:pPr>
        <w:spacing w:before="60" w:after="0" w:line="240" w:lineRule="auto"/>
      </w:pPr>
    </w:p>
    <w:p w:rsidR="00AB7F28" w:rsidRDefault="00AB7F28" w:rsidP="00862794">
      <w:pPr>
        <w:spacing w:before="60" w:after="0" w:line="240" w:lineRule="auto"/>
      </w:pPr>
    </w:p>
    <w:p w:rsidR="00AB7F28" w:rsidRDefault="00AB7F28" w:rsidP="00862794">
      <w:pPr>
        <w:spacing w:before="60" w:after="0" w:line="240" w:lineRule="auto"/>
      </w:pPr>
      <w:r>
        <w:lastRenderedPageBreak/>
        <w:t>Datu publicējamība:</w:t>
      </w:r>
    </w:p>
    <w:p w:rsidR="00AB7F28" w:rsidRDefault="00AB7F28" w:rsidP="00862794">
      <w:pPr>
        <w:spacing w:before="60" w:after="0" w:line="240" w:lineRule="auto"/>
      </w:pPr>
      <w:r>
        <w:t>Dati uzskatāmi par publicējamiem, ja buļļa, govs vai teļa ticamība ir =&gt; 35%</w:t>
      </w:r>
    </w:p>
    <w:p w:rsidR="00AB7F28" w:rsidRDefault="00AB7F28" w:rsidP="00862794">
      <w:pPr>
        <w:spacing w:before="60" w:after="0" w:line="240" w:lineRule="auto"/>
      </w:pPr>
    </w:p>
    <w:p w:rsidR="00AB7F28" w:rsidRDefault="00AB7F28" w:rsidP="00862794">
      <w:pPr>
        <w:spacing w:before="60" w:after="0" w:line="240" w:lineRule="auto"/>
      </w:pPr>
      <w:r>
        <w:t xml:space="preserve">Vērtēšanas biežums: </w:t>
      </w:r>
    </w:p>
    <w:p w:rsidR="00AB7F28" w:rsidRDefault="00AB7F28" w:rsidP="00862794">
      <w:pPr>
        <w:spacing w:before="60" w:after="0" w:line="240" w:lineRule="auto"/>
      </w:pPr>
      <w:r>
        <w:t>Atnešanās vieglums tiek noteikts 3 reizes gadā Aprīlī, Augustā un De</w:t>
      </w:r>
      <w:r w:rsidR="00E0374C">
        <w:t>ce</w:t>
      </w:r>
      <w:bookmarkStart w:id="0" w:name="_GoBack"/>
      <w:bookmarkEnd w:id="0"/>
      <w:r w:rsidR="00217B13">
        <w:t>m</w:t>
      </w:r>
      <w:r>
        <w:t>brī.</w:t>
      </w:r>
    </w:p>
    <w:p w:rsidR="00AB7F28" w:rsidRDefault="00AB7F28" w:rsidP="00AB7F28">
      <w:pPr>
        <w:spacing w:before="60" w:after="0" w:line="240" w:lineRule="auto"/>
      </w:pPr>
    </w:p>
    <w:p w:rsidR="00AB7F28" w:rsidRDefault="00AB7F28" w:rsidP="00AB7F28">
      <w:pPr>
        <w:spacing w:before="60" w:after="0" w:line="240" w:lineRule="auto"/>
      </w:pPr>
      <w:r>
        <w:t>Izmantotā literatūra modeļa izstrādē:</w:t>
      </w:r>
    </w:p>
    <w:p w:rsidR="00AB7F28" w:rsidRDefault="00AB7F28" w:rsidP="00AB7F28">
      <w:pPr>
        <w:spacing w:before="60" w:after="0" w:line="240" w:lineRule="auto"/>
      </w:pPr>
    </w:p>
    <w:p w:rsidR="00AB7F28" w:rsidRDefault="00AB7F28" w:rsidP="00AB7F28">
      <w:pPr>
        <w:spacing w:before="60"/>
      </w:pPr>
      <w:r w:rsidRPr="00FB6B2C">
        <w:rPr>
          <w:lang w:val="de-DE"/>
        </w:rPr>
        <w:t xml:space="preserve">Liu, Z., F. Reinhardt, A. Bünger, and R. Reents. </w:t>
      </w:r>
      <w:r w:rsidRPr="00FB6B2C">
        <w:t>2004. Derivation</w:t>
      </w:r>
      <w:r>
        <w:t xml:space="preserve"> </w:t>
      </w:r>
      <w:r w:rsidRPr="00FB6B2C">
        <w:t>and calculation of approximate reliabilities and daughter yield</w:t>
      </w:r>
      <w:r>
        <w:t xml:space="preserve"> </w:t>
      </w:r>
      <w:r w:rsidRPr="00FB6B2C">
        <w:t>deviations</w:t>
      </w:r>
      <w:r>
        <w:t xml:space="preserve"> </w:t>
      </w:r>
      <w:r w:rsidRPr="00FB6B2C">
        <w:t>of a random regression test-day model for genetic</w:t>
      </w:r>
      <w:r>
        <w:t xml:space="preserve"> </w:t>
      </w:r>
      <w:r w:rsidRPr="00FB6B2C">
        <w:t>evaluation of dairy cattle. J. Dairy Sci. 87:1896–1907.</w:t>
      </w:r>
    </w:p>
    <w:p w:rsidR="00AB7F28" w:rsidRDefault="00AB7F28" w:rsidP="00AB7F28">
      <w:r w:rsidRPr="00DD7E46">
        <w:t xml:space="preserve">Liu, Z., E. Pasman, F. Reinhardt, and R. Reents. </w:t>
      </w:r>
      <w:r>
        <w:t>2012. A multi-parity animal model for genetic evaluation of calving traits enhan</w:t>
      </w:r>
      <w:r w:rsidR="00217B13">
        <w:t>AVt</w:t>
      </w:r>
      <w:r>
        <w:t xml:space="preserve"> with genomic information. Interbull Bulletin 46:133-142.</w:t>
      </w:r>
    </w:p>
    <w:p w:rsidR="00AB7F28" w:rsidRDefault="00AB7F28" w:rsidP="00862794">
      <w:pPr>
        <w:spacing w:before="60" w:after="0" w:line="240" w:lineRule="auto"/>
      </w:pPr>
    </w:p>
    <w:p w:rsidR="00AB7F28" w:rsidRDefault="00AB7F28" w:rsidP="00862794">
      <w:pPr>
        <w:spacing w:before="60" w:after="0" w:line="240" w:lineRule="auto"/>
      </w:pPr>
    </w:p>
    <w:p w:rsidR="00AB7F28" w:rsidRDefault="00AB7F28" w:rsidP="00AB7F28">
      <w:pPr>
        <w:jc w:val="center"/>
        <w:rPr>
          <w:lang w:val="en-GB"/>
        </w:rPr>
      </w:pPr>
      <w:r>
        <w:rPr>
          <w:lang w:val="en-GB"/>
        </w:rPr>
        <w:t>Ģenētiska novērtējuma parametri</w:t>
      </w:r>
    </w:p>
    <w:tbl>
      <w:tblPr>
        <w:tblW w:w="9224" w:type="dxa"/>
        <w:tblLayout w:type="fixed"/>
        <w:tblLook w:val="0000" w:firstRow="0" w:lastRow="0" w:firstColumn="0" w:lastColumn="0" w:noHBand="0" w:noVBand="0"/>
      </w:tblPr>
      <w:tblGrid>
        <w:gridCol w:w="2108"/>
        <w:gridCol w:w="2423"/>
        <w:gridCol w:w="1140"/>
        <w:gridCol w:w="1140"/>
        <w:gridCol w:w="2413"/>
      </w:tblGrid>
      <w:tr w:rsidR="002E1A78" w:rsidTr="002E1A78">
        <w:tc>
          <w:tcPr>
            <w:tcW w:w="21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1A78" w:rsidRDefault="002E1A78" w:rsidP="004A1989">
            <w:pPr>
              <w:rPr>
                <w:lang w:val="en-GB"/>
              </w:rPr>
            </w:pPr>
            <w:r>
              <w:rPr>
                <w:lang w:val="en-GB"/>
              </w:rPr>
              <w:t>Pazīme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1A78" w:rsidRDefault="002E1A78" w:rsidP="004A1989">
            <w:pPr>
              <w:rPr>
                <w:lang w:val="en-GB"/>
              </w:rPr>
            </w:pPr>
            <w:r>
              <w:rPr>
                <w:lang w:val="en-GB"/>
              </w:rPr>
              <w:t>Definition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1A78" w:rsidRDefault="002E1A78" w:rsidP="004A1989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1A78" w:rsidRDefault="002E1A78" w:rsidP="004A1989">
            <w:pPr>
              <w:rPr>
                <w:lang w:val="en-GB"/>
              </w:rPr>
            </w:pPr>
            <w:r>
              <w:rPr>
                <w:lang w:val="en-GB"/>
              </w:rPr>
              <w:t>ģenētiskā</w:t>
            </w:r>
          </w:p>
          <w:p w:rsidR="002E1A78" w:rsidRDefault="002E1A78" w:rsidP="004A1989">
            <w:pPr>
              <w:rPr>
                <w:lang w:val="en-GB"/>
              </w:rPr>
            </w:pPr>
            <w:r>
              <w:rPr>
                <w:lang w:val="en-GB"/>
              </w:rPr>
              <w:t>izkliede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E1A78" w:rsidRDefault="002E1A78" w:rsidP="004A1989">
            <w:pPr>
              <w:rPr>
                <w:lang w:val="en-GB"/>
              </w:rPr>
            </w:pPr>
            <w:r>
              <w:rPr>
                <w:lang w:val="en-GB"/>
              </w:rPr>
              <w:t>standartizēšanas formula</w:t>
            </w:r>
            <w:r>
              <w:rPr>
                <w:vertAlign w:val="superscript"/>
                <w:lang w:val="en-GB"/>
              </w:rPr>
              <w:t>a</w:t>
            </w:r>
          </w:p>
        </w:tc>
      </w:tr>
      <w:tr w:rsidR="002E1A78" w:rsidTr="002E1A78"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 Direct calving ease (DCE)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Atnešanās viegluma tiešais ģenētiskais efekts 1. laktācijā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.048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0.02362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RBV=(-(EBV-a</w:t>
            </w:r>
            <w:r w:rsidRPr="002948B4">
              <w:rPr>
                <w:vertAlign w:val="subscript"/>
                <w:lang w:val="en-GB"/>
              </w:rPr>
              <w:t>DCE</w:t>
            </w:r>
            <w:r>
              <w:rPr>
                <w:lang w:val="en-GB"/>
              </w:rPr>
              <w:t>)/b</w:t>
            </w:r>
            <w:r w:rsidRPr="002948B4">
              <w:rPr>
                <w:vertAlign w:val="subscript"/>
                <w:lang w:val="en-GB"/>
              </w:rPr>
              <w:t>DCE</w:t>
            </w:r>
            <w:r>
              <w:rPr>
                <w:lang w:val="en-GB"/>
              </w:rPr>
              <w:t xml:space="preserve">)*12 + 100 </w:t>
            </w:r>
          </w:p>
        </w:tc>
      </w:tr>
      <w:tr w:rsidR="002E1A78" w:rsidTr="002E1A78">
        <w:trPr>
          <w:trHeight w:hRule="exact" w:val="1149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 Maternal calving ease  (MCE)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2E1A78">
            <w:pPr>
              <w:spacing w:before="60" w:after="60"/>
            </w:pPr>
            <w:r>
              <w:rPr>
                <w:lang w:val="en-GB"/>
              </w:rPr>
              <w:t>Atnešanās viegluma maternālais ģenētiskais efekts 1.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.039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0.01898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RBV=(-(EBV-a</w:t>
            </w:r>
            <w:r>
              <w:rPr>
                <w:vertAlign w:val="subscript"/>
                <w:lang w:val="en-GB"/>
              </w:rPr>
              <w:t>M</w:t>
            </w:r>
            <w:r w:rsidRPr="002948B4">
              <w:rPr>
                <w:vertAlign w:val="subscript"/>
                <w:lang w:val="en-GB"/>
              </w:rPr>
              <w:t>CE</w:t>
            </w:r>
            <w:r>
              <w:rPr>
                <w:lang w:val="en-GB"/>
              </w:rPr>
              <w:t>)/b</w:t>
            </w:r>
            <w:r>
              <w:rPr>
                <w:vertAlign w:val="subscript"/>
                <w:lang w:val="en-GB"/>
              </w:rPr>
              <w:t>M</w:t>
            </w:r>
            <w:r w:rsidRPr="002948B4">
              <w:rPr>
                <w:vertAlign w:val="subscript"/>
                <w:lang w:val="en-GB"/>
              </w:rPr>
              <w:t>CE</w:t>
            </w:r>
            <w:r>
              <w:rPr>
                <w:lang w:val="en-GB"/>
              </w:rPr>
              <w:t>)*12 + 100</w:t>
            </w:r>
          </w:p>
        </w:tc>
      </w:tr>
      <w:tr w:rsidR="002E1A78" w:rsidTr="002E1A78">
        <w:trPr>
          <w:trHeight w:hRule="exact" w:val="982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 Direct stillbirth (DSB)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Nedzīvi dzimušo </w:t>
            </w:r>
            <w:r>
              <w:rPr>
                <w:lang w:val="en-GB"/>
              </w:rPr>
              <w:t>tiešais ģenētiskais efekts 1.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.027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0.01022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RBV=(-(EBV-a</w:t>
            </w:r>
            <w:r>
              <w:rPr>
                <w:vertAlign w:val="subscript"/>
                <w:lang w:val="en-GB"/>
              </w:rPr>
              <w:t>DSB</w:t>
            </w:r>
            <w:r>
              <w:rPr>
                <w:lang w:val="en-GB"/>
              </w:rPr>
              <w:t>)/b</w:t>
            </w:r>
            <w:r>
              <w:rPr>
                <w:vertAlign w:val="subscript"/>
                <w:lang w:val="en-GB"/>
              </w:rPr>
              <w:t>DSB</w:t>
            </w:r>
            <w:r>
              <w:rPr>
                <w:lang w:val="en-GB"/>
              </w:rPr>
              <w:t>)*12 + 100</w:t>
            </w:r>
          </w:p>
        </w:tc>
      </w:tr>
      <w:tr w:rsidR="002E1A78" w:rsidTr="002E1A78">
        <w:trPr>
          <w:trHeight w:hRule="exact" w:val="982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Maternal stillbirth (MSB)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2E1A78">
            <w:pPr>
              <w:spacing w:before="60" w:after="60"/>
            </w:pPr>
            <w:r>
              <w:t xml:space="preserve">Nedzīvi dzimušo </w:t>
            </w:r>
            <w:r>
              <w:rPr>
                <w:lang w:val="en-GB"/>
              </w:rPr>
              <w:t>maternālais ģenētiskais efekts 1. laktācijā</w:t>
            </w:r>
            <w: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.054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0.02007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RBV=(-(EBV-a</w:t>
            </w:r>
            <w:r>
              <w:rPr>
                <w:vertAlign w:val="subscript"/>
                <w:lang w:val="en-GB"/>
              </w:rPr>
              <w:t>MSB</w:t>
            </w:r>
            <w:r>
              <w:rPr>
                <w:lang w:val="en-GB"/>
              </w:rPr>
              <w:t>)/b</w:t>
            </w:r>
            <w:r>
              <w:rPr>
                <w:vertAlign w:val="subscript"/>
                <w:lang w:val="en-GB"/>
              </w:rPr>
              <w:t>MSB</w:t>
            </w:r>
            <w:r>
              <w:rPr>
                <w:lang w:val="en-GB"/>
              </w:rPr>
              <w:t>)*12 + 100</w:t>
            </w:r>
          </w:p>
        </w:tc>
      </w:tr>
      <w:tr w:rsidR="002E1A78" w:rsidTr="002E1A78">
        <w:trPr>
          <w:trHeight w:hRule="exact" w:val="1010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DCE 2.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Atnešanās viegluma tiešais ģenētiskais efekts 2.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.026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0.00893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982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MCE 2.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Atnešanās viegluma maternālais ģenētiskais efekts 2.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0.00335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862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DSB 2.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Nedzīvi dzimušo </w:t>
            </w:r>
            <w:r>
              <w:rPr>
                <w:lang w:val="en-GB"/>
              </w:rPr>
              <w:t>tiešais ģenētiskais efekts 2.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.008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0.00155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1013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lastRenderedPageBreak/>
              <w:t>MSB 2.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Nedzīvi dzimušo </w:t>
            </w:r>
            <w:r>
              <w:rPr>
                <w:lang w:val="en-GB"/>
              </w:rPr>
              <w:t>maternālais ģenētiskais efekts 2.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.006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0.00120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879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DCE 3.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Atnešanās viegluma tiešais ģenētiskais efekts 3.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.017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0.00583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968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MCE 3.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rPr>
                <w:lang w:val="en-GB"/>
              </w:rPr>
              <w:t>Atnešanās viegluma maternālais ģenētiskais efekts 3.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.012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0.00426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1103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DSB 3.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Nedzīvi dzimušo </w:t>
            </w:r>
            <w:r>
              <w:rPr>
                <w:lang w:val="en-GB"/>
              </w:rPr>
              <w:t>tiešais ģenētiskais efekts 3.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.006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0.00120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hRule="exact" w:val="1111"/>
        </w:trPr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MSB 3. Laktācija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 xml:space="preserve">Nedzīvi dzimušo </w:t>
            </w:r>
            <w:r>
              <w:rPr>
                <w:lang w:val="en-GB"/>
              </w:rPr>
              <w:t>maternālais ģenētiskais efekts 3. laktācijā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.005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  <w:r>
              <w:t>0.00095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</w:pPr>
          </w:p>
        </w:tc>
      </w:tr>
      <w:tr w:rsidR="002E1A78" w:rsidTr="002E1A78">
        <w:trPr>
          <w:trHeight w:val="830"/>
        </w:trPr>
        <w:tc>
          <w:tcPr>
            <w:tcW w:w="21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E1A78" w:rsidRDefault="002E1A78" w:rsidP="004A1989"/>
        </w:tc>
        <w:tc>
          <w:tcPr>
            <w:tcW w:w="242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E1A78" w:rsidRDefault="002E1A78" w:rsidP="004A1989">
            <w:pPr>
              <w:spacing w:before="60" w:after="60"/>
              <w:rPr>
                <w:lang w:val="en-GB"/>
              </w:rPr>
            </w:pPr>
          </w:p>
        </w:tc>
      </w:tr>
    </w:tbl>
    <w:p w:rsidR="00AB7F28" w:rsidRDefault="002E1A78" w:rsidP="00AB7F28">
      <w:pPr>
        <w:ind w:left="284" w:hanging="284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a</w:t>
      </w:r>
      <w:r w:rsidR="00AB7F28">
        <w:rPr>
          <w:sz w:val="18"/>
          <w:szCs w:val="18"/>
          <w:lang w:val="en-GB"/>
        </w:rPr>
        <w:tab/>
        <w:t>StandEval=((eval-a)/b)*c+d where a=</w:t>
      </w:r>
      <w:r w:rsidR="00B8425A">
        <w:rPr>
          <w:sz w:val="18"/>
          <w:szCs w:val="18"/>
          <w:lang w:val="en-GB"/>
        </w:rPr>
        <w:t>bāzes korekciju vidējā vēŗtība</w:t>
      </w:r>
      <w:r w:rsidR="00AB7F28">
        <w:rPr>
          <w:sz w:val="18"/>
          <w:szCs w:val="18"/>
          <w:lang w:val="en-GB"/>
        </w:rPr>
        <w:t>, b=</w:t>
      </w:r>
      <w:r w:rsidR="00B8425A">
        <w:rPr>
          <w:sz w:val="18"/>
          <w:szCs w:val="18"/>
          <w:lang w:val="en-GB"/>
        </w:rPr>
        <w:t>bāzes std</w:t>
      </w:r>
      <w:r w:rsidR="00AB7F28">
        <w:rPr>
          <w:sz w:val="18"/>
          <w:szCs w:val="18"/>
          <w:lang w:val="en-GB"/>
        </w:rPr>
        <w:t>, c=standard deviation of expression (include sign if scale is reversed), and d=base of expression.</w:t>
      </w:r>
    </w:p>
    <w:p w:rsidR="00AB7F28" w:rsidRDefault="00AB7F28" w:rsidP="00AB7F28">
      <w:pPr>
        <w:pStyle w:val="Header"/>
        <w:tabs>
          <w:tab w:val="clear" w:pos="4320"/>
          <w:tab w:val="clear" w:pos="8640"/>
          <w:tab w:val="right" w:pos="9000"/>
        </w:tabs>
        <w:outlineLvl w:val="0"/>
        <w:rPr>
          <w:lang w:val="en-GB"/>
        </w:rPr>
      </w:pPr>
    </w:p>
    <w:p w:rsidR="00AB7F28" w:rsidRDefault="00AB7F28" w:rsidP="00862794">
      <w:pPr>
        <w:spacing w:before="60" w:after="0" w:line="240" w:lineRule="auto"/>
      </w:pPr>
    </w:p>
    <w:p w:rsidR="00AB7F28" w:rsidRDefault="00AB7F28" w:rsidP="00862794">
      <w:pPr>
        <w:spacing w:before="60" w:after="0" w:line="240" w:lineRule="auto"/>
      </w:pPr>
    </w:p>
    <w:sectPr w:rsidR="00AB7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46" w:rsidRDefault="006C7B46" w:rsidP="005E3679">
      <w:pPr>
        <w:spacing w:after="0" w:line="240" w:lineRule="auto"/>
      </w:pPr>
      <w:r>
        <w:separator/>
      </w:r>
    </w:p>
  </w:endnote>
  <w:endnote w:type="continuationSeparator" w:id="0">
    <w:p w:rsidR="006C7B46" w:rsidRDefault="006C7B46" w:rsidP="005E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46" w:rsidRDefault="006C7B46" w:rsidP="005E3679">
      <w:pPr>
        <w:spacing w:after="0" w:line="240" w:lineRule="auto"/>
      </w:pPr>
      <w:r>
        <w:separator/>
      </w:r>
    </w:p>
  </w:footnote>
  <w:footnote w:type="continuationSeparator" w:id="0">
    <w:p w:rsidR="006C7B46" w:rsidRDefault="006C7B46" w:rsidP="005E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E11"/>
    <w:multiLevelType w:val="hybridMultilevel"/>
    <w:tmpl w:val="E64A6692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7C14"/>
    <w:multiLevelType w:val="hybridMultilevel"/>
    <w:tmpl w:val="B6EE5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5A6A"/>
    <w:multiLevelType w:val="hybridMultilevel"/>
    <w:tmpl w:val="EDD6C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A3669"/>
    <w:multiLevelType w:val="hybridMultilevel"/>
    <w:tmpl w:val="2DF69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F65"/>
    <w:multiLevelType w:val="hybridMultilevel"/>
    <w:tmpl w:val="71240E9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E57A5"/>
    <w:multiLevelType w:val="hybridMultilevel"/>
    <w:tmpl w:val="9468C1D6"/>
    <w:lvl w:ilvl="0" w:tplc="56FA3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85B5B"/>
    <w:multiLevelType w:val="hybridMultilevel"/>
    <w:tmpl w:val="DE2242D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0302"/>
    <w:multiLevelType w:val="hybridMultilevel"/>
    <w:tmpl w:val="265E460C"/>
    <w:lvl w:ilvl="0" w:tplc="0426000F">
      <w:start w:val="1"/>
      <w:numFmt w:val="decimal"/>
      <w:lvlText w:val="%1."/>
      <w:lvlJc w:val="left"/>
      <w:pPr>
        <w:ind w:left="1446" w:hanging="360"/>
      </w:pPr>
    </w:lvl>
    <w:lvl w:ilvl="1" w:tplc="04260019" w:tentative="1">
      <w:start w:val="1"/>
      <w:numFmt w:val="lowerLetter"/>
      <w:lvlText w:val="%2."/>
      <w:lvlJc w:val="left"/>
      <w:pPr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7E513765"/>
    <w:multiLevelType w:val="hybridMultilevel"/>
    <w:tmpl w:val="CD26B382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79"/>
    <w:rsid w:val="00217B13"/>
    <w:rsid w:val="002E131D"/>
    <w:rsid w:val="002E1A78"/>
    <w:rsid w:val="00427AFD"/>
    <w:rsid w:val="0053786A"/>
    <w:rsid w:val="005E3679"/>
    <w:rsid w:val="005F08F0"/>
    <w:rsid w:val="006C7B46"/>
    <w:rsid w:val="007C6DE8"/>
    <w:rsid w:val="008049E0"/>
    <w:rsid w:val="00862794"/>
    <w:rsid w:val="00934E30"/>
    <w:rsid w:val="00AB7F28"/>
    <w:rsid w:val="00B43DB1"/>
    <w:rsid w:val="00B8425A"/>
    <w:rsid w:val="00B94BAD"/>
    <w:rsid w:val="00C2242F"/>
    <w:rsid w:val="00C3433A"/>
    <w:rsid w:val="00C73B4B"/>
    <w:rsid w:val="00CF306A"/>
    <w:rsid w:val="00D26D14"/>
    <w:rsid w:val="00D85E08"/>
    <w:rsid w:val="00E0374C"/>
    <w:rsid w:val="00E2301C"/>
    <w:rsid w:val="00EC605C"/>
    <w:rsid w:val="00F64D15"/>
    <w:rsid w:val="00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8220-FF49-444E-8B23-10522B18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E36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36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36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3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7F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7F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3973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Ādama</dc:creator>
  <cp:keywords/>
  <dc:description/>
  <cp:lastModifiedBy>Kristīne Ādama</cp:lastModifiedBy>
  <cp:revision>12</cp:revision>
  <dcterms:created xsi:type="dcterms:W3CDTF">2019-10-31T12:52:00Z</dcterms:created>
  <dcterms:modified xsi:type="dcterms:W3CDTF">2019-12-10T07:43:00Z</dcterms:modified>
</cp:coreProperties>
</file>